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74148" w14:textId="77777777" w:rsidR="00B55070" w:rsidRDefault="00B55070" w:rsidP="00C1550F">
      <w:pPr>
        <w:jc w:val="both"/>
      </w:pPr>
    </w:p>
    <w:p w14:paraId="565A53E5" w14:textId="5C109214" w:rsidR="009E3021" w:rsidRPr="009E3021" w:rsidRDefault="009E3021" w:rsidP="00C1550F">
      <w:pPr>
        <w:jc w:val="both"/>
        <w:rPr>
          <w:b/>
          <w:bCs/>
          <w:u w:val="single"/>
        </w:rPr>
      </w:pPr>
      <w:r w:rsidRPr="009E3021">
        <w:rPr>
          <w:b/>
          <w:bCs/>
          <w:u w:val="single"/>
        </w:rPr>
        <w:t xml:space="preserve">Artículo </w:t>
      </w:r>
      <w:r w:rsidR="009008C6">
        <w:rPr>
          <w:b/>
          <w:bCs/>
          <w:u w:val="single"/>
        </w:rPr>
        <w:t>153</w:t>
      </w:r>
      <w:r w:rsidRPr="009E3021">
        <w:rPr>
          <w:b/>
          <w:bCs/>
          <w:u w:val="single"/>
        </w:rPr>
        <w:t xml:space="preserve"> </w:t>
      </w:r>
      <w:r w:rsidR="009008C6" w:rsidRPr="009E3021">
        <w:rPr>
          <w:b/>
          <w:bCs/>
          <w:u w:val="single"/>
        </w:rPr>
        <w:t>de</w:t>
      </w:r>
      <w:r w:rsidR="009008C6">
        <w:rPr>
          <w:b/>
          <w:bCs/>
          <w:u w:val="single"/>
        </w:rPr>
        <w:t>l Reglamento a</w:t>
      </w:r>
      <w:r w:rsidRPr="009E3021">
        <w:rPr>
          <w:b/>
          <w:bCs/>
          <w:u w:val="single"/>
        </w:rPr>
        <w:t xml:space="preserve"> la Ley de Régimen Tributario Interno.</w:t>
      </w:r>
    </w:p>
    <w:p w14:paraId="12C53F30" w14:textId="77777777" w:rsidR="007B08E7" w:rsidRDefault="007B08E7" w:rsidP="00C1550F">
      <w:pPr>
        <w:jc w:val="both"/>
      </w:pPr>
    </w:p>
    <w:p w14:paraId="7872D517" w14:textId="77777777" w:rsidR="009008C6" w:rsidRDefault="009008C6" w:rsidP="00C1550F">
      <w:pPr>
        <w:jc w:val="both"/>
      </w:pPr>
      <w:r w:rsidRPr="009008C6">
        <w:t xml:space="preserve">Art. 153.- Crédito tributario.- Para ejercer el derecho al crédito tributario por el IVA pagado en las adquisiciones locales o importaciones de los bienes, materias primas, insumos o servicios, establecidos en la Ley de Régimen Tributario Interno y cumplidos los demás requisitos establecidos en la misma ley, serán válidos exclusivamente los documentos aduaneros de importación y demás comprobantes de venta recibidos en las operaciones de importación con su respectivo comprobante de pago del impuesto y aquellos comprobantes de venta expresamente autorizados para el efecto por el Reglamento de Comprobantes de Venta, Retención y Documentos Complementarios, en los cuales conste por separado el valor del Impuesto al Valor Agregado pagado. </w:t>
      </w:r>
    </w:p>
    <w:p w14:paraId="224D0AE9" w14:textId="77777777" w:rsidR="009008C6" w:rsidRDefault="009008C6" w:rsidP="00C1550F">
      <w:pPr>
        <w:jc w:val="both"/>
      </w:pPr>
    </w:p>
    <w:p w14:paraId="531DC682" w14:textId="77777777" w:rsidR="009008C6" w:rsidRDefault="009008C6" w:rsidP="00C1550F">
      <w:pPr>
        <w:jc w:val="both"/>
      </w:pPr>
      <w:r w:rsidRPr="009008C6">
        <w:t xml:space="preserve">a) Podrán utilizar el cien por ciento (100%) del crédito tributario los sujetos pasivos del impuesto al valor agregado IVA, en los siguientes casos: </w:t>
      </w:r>
    </w:p>
    <w:p w14:paraId="3BF7896C" w14:textId="77777777" w:rsidR="009008C6" w:rsidRDefault="009008C6" w:rsidP="00C1550F">
      <w:pPr>
        <w:jc w:val="both"/>
      </w:pPr>
      <w:r w:rsidRPr="009008C6">
        <w:t xml:space="preserve">1. Producción o comercialización de bienes para el mercado interno gravados con la tarifa vigente de IVA distinta de cero por ciento (0%); </w:t>
      </w:r>
    </w:p>
    <w:p w14:paraId="3EA13FCA" w14:textId="38555054" w:rsidR="009008C6" w:rsidRDefault="009008C6" w:rsidP="00C1550F">
      <w:pPr>
        <w:jc w:val="both"/>
      </w:pPr>
      <w:r w:rsidRPr="009008C6">
        <w:t>2. Prestación de servicios gravados con la tarifa vigente de IVA distinta de cero por ciento (0%);</w:t>
      </w:r>
    </w:p>
    <w:p w14:paraId="16397DDA" w14:textId="77777777" w:rsidR="009008C6" w:rsidRDefault="009008C6" w:rsidP="00C1550F">
      <w:pPr>
        <w:jc w:val="both"/>
      </w:pPr>
      <w:r w:rsidRPr="009008C6">
        <w:t xml:space="preserve">3. Comercialización de paquetes de turismo receptivo, facturados dentro o fuera del país, brindados a personas naturales no residentes en el Ecuador; </w:t>
      </w:r>
    </w:p>
    <w:p w14:paraId="5E88FD14" w14:textId="77777777" w:rsidR="009008C6" w:rsidRDefault="009008C6" w:rsidP="00C1550F">
      <w:pPr>
        <w:jc w:val="both"/>
      </w:pPr>
      <w:r w:rsidRPr="009008C6">
        <w:t xml:space="preserve">4. Venta directa de bienes y servicios gravados con tarifa cero por ciento (0%) de IVA a exportadores o, empresas que sean de propiedad de los exportadores y que formen parte de la misma cadena productiva hasta su exportación; y, </w:t>
      </w:r>
    </w:p>
    <w:p w14:paraId="69073B7D" w14:textId="77777777" w:rsidR="009008C6" w:rsidRDefault="009008C6" w:rsidP="00C1550F">
      <w:pPr>
        <w:jc w:val="both"/>
      </w:pPr>
      <w:r w:rsidRPr="009008C6">
        <w:t xml:space="preserve">5. Exportación de bienes y servicios. </w:t>
      </w:r>
    </w:p>
    <w:p w14:paraId="79BE67D7" w14:textId="77777777" w:rsidR="009008C6" w:rsidRDefault="009008C6" w:rsidP="00C1550F">
      <w:pPr>
        <w:jc w:val="both"/>
      </w:pPr>
      <w:r w:rsidRPr="009008C6">
        <w:t xml:space="preserve">También tienen derecho a crédito tributario los fabricantes, por el IVA pagado en la adquisición local de materias primas, insumos y servicios, destinados a la producción de bienes para la exportación, que se agregan a las materias primas internadas en el país bajo regímenes aduaneros especiales, aunque dichos contribuyentes no exporten directamente el producto terminado, siempre que estos bienes sean adquiridos efectivamente por los exportadores, de conformidad con lo establecido en el tercer inciso del Art. 57 de la Ley de Régimen Tributario Interno. </w:t>
      </w:r>
    </w:p>
    <w:p w14:paraId="2F6061E7" w14:textId="77777777" w:rsidR="009008C6" w:rsidRDefault="009008C6" w:rsidP="00C1550F">
      <w:pPr>
        <w:jc w:val="both"/>
      </w:pPr>
      <w:r w:rsidRPr="009008C6">
        <w:lastRenderedPageBreak/>
        <w:t xml:space="preserve">En el caso que el sujeto pasivo no haya realizado ventas o transferencias en un período, el crédito tributario se trasladará al periodo en el que existan transferencias. </w:t>
      </w:r>
    </w:p>
    <w:p w14:paraId="3E757E01" w14:textId="77777777" w:rsidR="009008C6" w:rsidRDefault="009008C6" w:rsidP="00C1550F">
      <w:pPr>
        <w:jc w:val="both"/>
      </w:pPr>
      <w:r w:rsidRPr="009008C6">
        <w:t xml:space="preserve">b) Los sujetos pasivos del IVA que se dediquen a la producción, comercialización de bienes o a la prestación de servicios que en parte estén gravados con tarifa cero por ciento (0%) y en parte con la tarifa vigente de IVA distinta de cero por ciento (0%), en los términos descritos en la Ley de Régimen Tributario Interno. </w:t>
      </w:r>
    </w:p>
    <w:p w14:paraId="27E56120" w14:textId="77777777" w:rsidR="009008C6" w:rsidRDefault="009008C6" w:rsidP="00C1550F">
      <w:pPr>
        <w:jc w:val="both"/>
      </w:pPr>
      <w:r w:rsidRPr="009008C6">
        <w:t xml:space="preserve">Para establecer la proporción, en el caso de contribuyentes que inician sus actividades productivas deberá efectuarse la proyección de las transferencias de bienes y servicios con la tarifa vigente del IVA distinta de cero por ciento (0%); de comercialización de paquetes de turismo receptivo, facturados dentro o fuera del país, brindados a personas naturales no residentes en el Ecuador; de venta directa de bienes y servicios gravados con tarifa cero por ciento (0%) del IVA a exportadores; y de exportaciones de bienes y servicios, respecto del total de ventas. </w:t>
      </w:r>
    </w:p>
    <w:p w14:paraId="14D3996C" w14:textId="77777777" w:rsidR="009008C6" w:rsidRDefault="009008C6" w:rsidP="00C1550F">
      <w:pPr>
        <w:jc w:val="both"/>
      </w:pPr>
      <w:r w:rsidRPr="009008C6">
        <w:t xml:space="preserve">Si estos sujetos pasivos mantienen sistemas contables que permitan diferenciar, inequívocamente, las adquisiciones de materias primas, insumos y servicios gravados con la tarifa vigente de IVA distinta de cero por ciento (0%) empleados exclusivamente en la producción, comercialización de bienes o en la prestación de servicios gravados con dicha tarifa; de las compras de bienes y de servicios gravados con la tarifa vigente de IVA distinta de cero por ciento (0%) pero empleados en la producción, comercialización o prestación de servicios gravados con tarifa cero por ciento (0%), podrán, para el primer caso, utilizar la totalidad del IVA pagado para la determinación del impuesto a pagar. </w:t>
      </w:r>
    </w:p>
    <w:p w14:paraId="76E5B750" w14:textId="77777777" w:rsidR="009008C6" w:rsidRDefault="009008C6" w:rsidP="00C1550F">
      <w:pPr>
        <w:jc w:val="both"/>
      </w:pPr>
      <w:r w:rsidRPr="009008C6">
        <w:t xml:space="preserve">En caso de no poder diferenciar, aplicará el factor de proporcionalidad. </w:t>
      </w:r>
    </w:p>
    <w:p w14:paraId="4F189018" w14:textId="14B17517" w:rsidR="009008C6" w:rsidRDefault="009008C6" w:rsidP="00C1550F">
      <w:pPr>
        <w:jc w:val="both"/>
      </w:pPr>
      <w:r w:rsidRPr="009008C6">
        <w:t>El Servicio de Rentas Internas podrá verificar, en cualquier momento, la proporción utilizada.</w:t>
      </w:r>
    </w:p>
    <w:p w14:paraId="24C305A5" w14:textId="77777777" w:rsidR="009008C6" w:rsidRDefault="009008C6" w:rsidP="00C1550F">
      <w:pPr>
        <w:jc w:val="both"/>
      </w:pPr>
      <w:r w:rsidRPr="009008C6">
        <w:t xml:space="preserve">El Impuesto al Valor Agregado pagado en las adquisiciones de bienes y servicios en etapas de preproducción, constituye crédito tributario si las actividades que generan los ingresos futuros corresponden a las señaladas en el literal a) de este artículo. </w:t>
      </w:r>
    </w:p>
    <w:p w14:paraId="1B933F70" w14:textId="77777777" w:rsidR="009008C6" w:rsidRDefault="009008C6" w:rsidP="00C1550F">
      <w:pPr>
        <w:jc w:val="both"/>
      </w:pPr>
      <w:r w:rsidRPr="009008C6">
        <w:t xml:space="preserve">El Impuesto al Valor Agregado generado en la adquisición de bienes y servicios que sean utilizados para la generación de servicios o transferencia de bienes no sujetos al impuesto, no podrá ser considerado como crédito tributario, debiendo ser cargado al gasto. </w:t>
      </w:r>
    </w:p>
    <w:p w14:paraId="351F3F99" w14:textId="77777777" w:rsidR="009008C6" w:rsidRDefault="009008C6" w:rsidP="00C1550F">
      <w:pPr>
        <w:jc w:val="both"/>
      </w:pPr>
      <w:r w:rsidRPr="009008C6">
        <w:t xml:space="preserve">El crédito tributario por el Impuesto al Valor Agregado pagado en adquisiciones locales e importaciones de bienes y </w:t>
      </w:r>
      <w:proofErr w:type="gramStart"/>
      <w:r w:rsidRPr="009008C6">
        <w:t>servicios,</w:t>
      </w:r>
      <w:proofErr w:type="gramEnd"/>
      <w:r w:rsidRPr="009008C6">
        <w:t xml:space="preserve"> podrá ser utilizado o sujeto de devolución, cuando corresponda, hasta dentro de cinco años contados desde la fecha de exigibilidad de la declaración, vencido este plazo podrá ser cargado al gasto. </w:t>
      </w:r>
    </w:p>
    <w:p w14:paraId="70D13D7F" w14:textId="77777777" w:rsidR="009008C6" w:rsidRDefault="009008C6" w:rsidP="00C1550F">
      <w:pPr>
        <w:jc w:val="both"/>
      </w:pPr>
      <w:r w:rsidRPr="009008C6">
        <w:lastRenderedPageBreak/>
        <w:t xml:space="preserve">Para los casos de sujetos pasivos que inicien sus actividades económicas o que se dediquen exclusivamente a la producción de bienes o servicios cuya etapa de producción sea mayor a cinco años, el plazo comenzará a contar a partir del primer periodo fiscal en el que (sic) cual se generen ingresos operacionales. </w:t>
      </w:r>
    </w:p>
    <w:p w14:paraId="0F753A1E" w14:textId="40FC572B" w:rsidR="009008C6" w:rsidRDefault="009008C6" w:rsidP="00C1550F">
      <w:pPr>
        <w:jc w:val="both"/>
      </w:pPr>
      <w:r w:rsidRPr="009008C6">
        <w:t xml:space="preserve">Nota: Inciso último agregado por Decreto Ejecutivo No. 580, publicado en Registro Oficial 448 de 28 de </w:t>
      </w:r>
      <w:proofErr w:type="gramStart"/>
      <w:r w:rsidRPr="009008C6">
        <w:t>Febrero</w:t>
      </w:r>
      <w:proofErr w:type="gramEnd"/>
      <w:r w:rsidRPr="009008C6">
        <w:t xml:space="preserve"> del 2015. </w:t>
      </w:r>
    </w:p>
    <w:p w14:paraId="44BDD0B4" w14:textId="2BA8D4EE" w:rsidR="009008C6" w:rsidRDefault="009008C6" w:rsidP="00C1550F">
      <w:pPr>
        <w:jc w:val="both"/>
      </w:pPr>
      <w:r w:rsidRPr="009008C6">
        <w:t xml:space="preserve">Nota: Artículo reformado por artículo 1, numeral 27 de Decreto Ejecutivo No. 476, publicado en Registro Oficial Suplemento 312 de 24 de </w:t>
      </w:r>
      <w:proofErr w:type="gramStart"/>
      <w:r w:rsidRPr="009008C6">
        <w:t>Agosto</w:t>
      </w:r>
      <w:proofErr w:type="gramEnd"/>
      <w:r w:rsidRPr="009008C6">
        <w:t xml:space="preserve"> del 2018. </w:t>
      </w:r>
    </w:p>
    <w:p w14:paraId="1F836F09" w14:textId="10475F99" w:rsidR="009008C6" w:rsidRDefault="009008C6" w:rsidP="00C1550F">
      <w:pPr>
        <w:jc w:val="both"/>
      </w:pPr>
      <w:r w:rsidRPr="009008C6">
        <w:t xml:space="preserve">Nota: Artículo reformado por artículo 11, numeral 33 de Decreto Ejecutivo No. 617, publicado en Registro Oficial Suplemento 392 de 20 de </w:t>
      </w:r>
      <w:proofErr w:type="gramStart"/>
      <w:r w:rsidRPr="009008C6">
        <w:t>Diciembre</w:t>
      </w:r>
      <w:proofErr w:type="gramEnd"/>
      <w:r w:rsidRPr="009008C6">
        <w:t xml:space="preserve"> del 2018. </w:t>
      </w:r>
    </w:p>
    <w:p w14:paraId="4233B1ED" w14:textId="77777777" w:rsidR="009008C6" w:rsidRDefault="009008C6" w:rsidP="00C1550F">
      <w:pPr>
        <w:jc w:val="both"/>
      </w:pPr>
      <w:r w:rsidRPr="009008C6">
        <w:t xml:space="preserve">Nota: Artículo sustituido por artículo 51 de Decreto Ejecutivo No. 1114, publicado en Registro Oficial Suplemento 260 de 4 de </w:t>
      </w:r>
      <w:proofErr w:type="gramStart"/>
      <w:r w:rsidRPr="009008C6">
        <w:t>Agosto</w:t>
      </w:r>
      <w:proofErr w:type="gramEnd"/>
      <w:r w:rsidRPr="009008C6">
        <w:t xml:space="preserve"> del 2020. </w:t>
      </w:r>
    </w:p>
    <w:p w14:paraId="3CA81197" w14:textId="77777777" w:rsidR="009008C6" w:rsidRDefault="009008C6" w:rsidP="00C1550F">
      <w:pPr>
        <w:jc w:val="both"/>
      </w:pPr>
      <w:r w:rsidRPr="009008C6">
        <w:t xml:space="preserve">Nota: Literal a) reformado por artículo 63 de Decreto Ejecutivo No. 304, publicado en Registro Oficial Suplemento 608 de 30 de </w:t>
      </w:r>
      <w:proofErr w:type="gramStart"/>
      <w:r w:rsidRPr="009008C6">
        <w:t>Diciembre</w:t>
      </w:r>
      <w:proofErr w:type="gramEnd"/>
      <w:r w:rsidRPr="009008C6">
        <w:t xml:space="preserve"> del 2021. </w:t>
      </w:r>
    </w:p>
    <w:p w14:paraId="22BDCB36" w14:textId="16B79F3B" w:rsidR="009008C6" w:rsidRDefault="009008C6" w:rsidP="00C1550F">
      <w:pPr>
        <w:jc w:val="both"/>
      </w:pPr>
      <w:r w:rsidRPr="009008C6">
        <w:t>Nota: Inciso primero reformado por artículo 29 del Decreto Ejecutivo No. 333, publicado en Registro Oficial Suplemento 600 de 15 de julio del 2024.</w:t>
      </w:r>
    </w:p>
    <w:sectPr w:rsidR="009008C6" w:rsidSect="004C35C3">
      <w:headerReference w:type="default" r:id="rId6"/>
      <w:footerReference w:type="default" r:id="rId7"/>
      <w:pgSz w:w="11900" w:h="16840"/>
      <w:pgMar w:top="2837" w:right="1977" w:bottom="1417" w:left="1985" w:header="0" w:footer="21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BFDD9" w14:textId="77777777" w:rsidR="007D042A" w:rsidRDefault="007D042A" w:rsidP="008C3FDF">
      <w:pPr>
        <w:spacing w:after="0" w:line="240" w:lineRule="auto"/>
      </w:pPr>
      <w:r>
        <w:separator/>
      </w:r>
    </w:p>
  </w:endnote>
  <w:endnote w:type="continuationSeparator" w:id="0">
    <w:p w14:paraId="192D0F30" w14:textId="77777777" w:rsidR="007D042A" w:rsidRDefault="007D042A" w:rsidP="008C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8DE9" w14:textId="75ED937B" w:rsidR="008C3FDF" w:rsidRDefault="00B56306" w:rsidP="004C35C3">
    <w:pPr>
      <w:pStyle w:val="Piedepgina"/>
      <w:tabs>
        <w:tab w:val="clear" w:pos="8504"/>
      </w:tabs>
      <w:ind w:left="-1985"/>
    </w:pPr>
    <w:r>
      <w:rPr>
        <w:noProof/>
        <w:lang w:eastAsia="es-ES_tradnl"/>
      </w:rPr>
      <w:drawing>
        <wp:anchor distT="0" distB="0" distL="114300" distR="114300" simplePos="0" relativeHeight="251663360" behindDoc="1" locked="0" layoutInCell="1" allowOverlap="1" wp14:anchorId="3E00FE24" wp14:editId="5BEA9FAC">
          <wp:simplePos x="0" y="0"/>
          <wp:positionH relativeFrom="column">
            <wp:posOffset>-1260475</wp:posOffset>
          </wp:positionH>
          <wp:positionV relativeFrom="page">
            <wp:posOffset>8621486</wp:posOffset>
          </wp:positionV>
          <wp:extent cx="7693244" cy="2089459"/>
          <wp:effectExtent l="0" t="0" r="3175" b="635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7693244" cy="20894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560F">
      <w:rPr>
        <w:noProof/>
        <w:lang w:eastAsia="es-ES_tradnl"/>
      </w:rPr>
      <w:drawing>
        <wp:anchor distT="0" distB="0" distL="114300" distR="114300" simplePos="0" relativeHeight="251661312" behindDoc="0" locked="0" layoutInCell="1" allowOverlap="1" wp14:anchorId="39D0E362" wp14:editId="363FCC25">
          <wp:simplePos x="0" y="0"/>
          <wp:positionH relativeFrom="column">
            <wp:posOffset>-934550</wp:posOffset>
          </wp:positionH>
          <wp:positionV relativeFrom="paragraph">
            <wp:posOffset>826713</wp:posOffset>
          </wp:positionV>
          <wp:extent cx="935355" cy="203200"/>
          <wp:effectExtent l="0" t="0" r="4445" b="0"/>
          <wp:wrapNone/>
          <wp:docPr id="664003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03294" name="Imagen 1"/>
                  <pic:cNvPicPr/>
                </pic:nvPicPr>
                <pic:blipFill>
                  <a:blip r:embed="rId2">
                    <a:extLst>
                      <a:ext uri="{28A0092B-C50C-407E-A947-70E740481C1C}">
                        <a14:useLocalDpi xmlns:a14="http://schemas.microsoft.com/office/drawing/2010/main" val="0"/>
                      </a:ext>
                    </a:extLst>
                  </a:blip>
                  <a:stretch>
                    <a:fillRect/>
                  </a:stretch>
                </pic:blipFill>
                <pic:spPr>
                  <a:xfrm>
                    <a:off x="0" y="0"/>
                    <a:ext cx="939949" cy="20419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40139" w14:textId="77777777" w:rsidR="007D042A" w:rsidRDefault="007D042A" w:rsidP="008C3FDF">
      <w:pPr>
        <w:spacing w:after="0" w:line="240" w:lineRule="auto"/>
      </w:pPr>
      <w:r>
        <w:separator/>
      </w:r>
    </w:p>
  </w:footnote>
  <w:footnote w:type="continuationSeparator" w:id="0">
    <w:p w14:paraId="6CDC5275" w14:textId="77777777" w:rsidR="007D042A" w:rsidRDefault="007D042A" w:rsidP="008C3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C19E" w14:textId="1A8D4299" w:rsidR="008C3FDF" w:rsidRDefault="00BD560F" w:rsidP="005B587A">
    <w:pPr>
      <w:pStyle w:val="Encabezado"/>
      <w:tabs>
        <w:tab w:val="clear" w:pos="8504"/>
        <w:tab w:val="right" w:pos="8498"/>
      </w:tabs>
      <w:ind w:left="-1985"/>
    </w:pPr>
    <w:r w:rsidRPr="00BD560F">
      <w:rPr>
        <w:noProof/>
      </w:rPr>
      <w:drawing>
        <wp:anchor distT="0" distB="0" distL="114300" distR="114300" simplePos="0" relativeHeight="251664384" behindDoc="1" locked="0" layoutInCell="1" allowOverlap="1" wp14:anchorId="769C92F9" wp14:editId="0FE0CC4F">
          <wp:simplePos x="0" y="0"/>
          <wp:positionH relativeFrom="column">
            <wp:posOffset>2287904</wp:posOffset>
          </wp:positionH>
          <wp:positionV relativeFrom="paragraph">
            <wp:posOffset>-20320</wp:posOffset>
          </wp:positionV>
          <wp:extent cx="4015727" cy="172720"/>
          <wp:effectExtent l="0" t="0" r="0" b="5080"/>
          <wp:wrapNone/>
          <wp:docPr id="9023072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07286" name="Imagen 1"/>
                  <pic:cNvPicPr/>
                </pic:nvPicPr>
                <pic:blipFill>
                  <a:blip r:embed="rId1">
                    <a:extLst>
                      <a:ext uri="{28A0092B-C50C-407E-A947-70E740481C1C}">
                        <a14:useLocalDpi xmlns:a14="http://schemas.microsoft.com/office/drawing/2010/main" val="0"/>
                      </a:ext>
                    </a:extLst>
                  </a:blip>
                  <a:stretch>
                    <a:fillRect/>
                  </a:stretch>
                </pic:blipFill>
                <pic:spPr>
                  <a:xfrm>
                    <a:off x="0" y="0"/>
                    <a:ext cx="4872178" cy="209557"/>
                  </a:xfrm>
                  <a:prstGeom prst="rect">
                    <a:avLst/>
                  </a:prstGeom>
                </pic:spPr>
              </pic:pic>
            </a:graphicData>
          </a:graphic>
          <wp14:sizeRelH relativeFrom="page">
            <wp14:pctWidth>0</wp14:pctWidth>
          </wp14:sizeRelH>
          <wp14:sizeRelV relativeFrom="page">
            <wp14:pctHeight>0</wp14:pctHeight>
          </wp14:sizeRelV>
        </wp:anchor>
      </w:drawing>
    </w:r>
    <w:r w:rsidR="00666ED2">
      <w:rPr>
        <w:noProof/>
      </w:rPr>
      <w:drawing>
        <wp:anchor distT="0" distB="0" distL="114300" distR="114300" simplePos="0" relativeHeight="251660288" behindDoc="0" locked="0" layoutInCell="1" allowOverlap="1" wp14:anchorId="7F5C1899" wp14:editId="5C5512E0">
          <wp:simplePos x="0" y="0"/>
          <wp:positionH relativeFrom="column">
            <wp:posOffset>4955268</wp:posOffset>
          </wp:positionH>
          <wp:positionV relativeFrom="paragraph">
            <wp:posOffset>558800</wp:posOffset>
          </wp:positionV>
          <wp:extent cx="796925" cy="558800"/>
          <wp:effectExtent l="0" t="0" r="0" b="0"/>
          <wp:wrapNone/>
          <wp:docPr id="3"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n 5"/>
                  <pic:cNvPicPr>
                    <a:picLocks/>
                  </pic:cNvPicPr>
                </pic:nvPicPr>
                <pic:blipFill>
                  <a:blip r:embed="rId2">
                    <a:extLst>
                      <a:ext uri="{28A0092B-C50C-407E-A947-70E740481C1C}">
                        <a14:useLocalDpi xmlns:a14="http://schemas.microsoft.com/office/drawing/2010/main" val="0"/>
                      </a:ext>
                    </a:extLst>
                  </a:blip>
                  <a:srcRect l="1511" r="1511"/>
                  <a:stretch>
                    <a:fillRect/>
                  </a:stretch>
                </pic:blipFill>
                <pic:spPr bwMode="auto">
                  <a:xfrm>
                    <a:off x="0" y="0"/>
                    <a:ext cx="796925" cy="55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3FDF">
      <w:rPr>
        <w:noProof/>
        <w:lang w:eastAsia="es-ES_tradnl"/>
      </w:rPr>
      <w:drawing>
        <wp:inline distT="0" distB="0" distL="0" distR="0" wp14:anchorId="795D3CCC" wp14:editId="44A5BF97">
          <wp:extent cx="2036149" cy="149136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rotWithShape="1">
                  <a:blip r:embed="rId3">
                    <a:extLst>
                      <a:ext uri="{28A0092B-C50C-407E-A947-70E740481C1C}">
                        <a14:useLocalDpi xmlns:a14="http://schemas.microsoft.com/office/drawing/2010/main" val="0"/>
                      </a:ext>
                    </a:extLst>
                  </a:blip>
                  <a:srcRect l="-23028" t="-42384" r="10" b="-22638"/>
                  <a:stretch/>
                </pic:blipFill>
                <pic:spPr bwMode="auto">
                  <a:xfrm>
                    <a:off x="0" y="0"/>
                    <a:ext cx="2036149" cy="149136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FDF"/>
    <w:rsid w:val="00023A2E"/>
    <w:rsid w:val="000733D3"/>
    <w:rsid w:val="000816A1"/>
    <w:rsid w:val="0009117D"/>
    <w:rsid w:val="00160594"/>
    <w:rsid w:val="001C1361"/>
    <w:rsid w:val="001D3A17"/>
    <w:rsid w:val="00212342"/>
    <w:rsid w:val="002405B9"/>
    <w:rsid w:val="00252778"/>
    <w:rsid w:val="00267626"/>
    <w:rsid w:val="00273886"/>
    <w:rsid w:val="00294227"/>
    <w:rsid w:val="002C1193"/>
    <w:rsid w:val="002E1F10"/>
    <w:rsid w:val="003223A8"/>
    <w:rsid w:val="004072B5"/>
    <w:rsid w:val="00487E6E"/>
    <w:rsid w:val="004C35C3"/>
    <w:rsid w:val="0052386E"/>
    <w:rsid w:val="00527157"/>
    <w:rsid w:val="005932E4"/>
    <w:rsid w:val="005B587A"/>
    <w:rsid w:val="005C17E2"/>
    <w:rsid w:val="005E1B37"/>
    <w:rsid w:val="005F1A70"/>
    <w:rsid w:val="00665060"/>
    <w:rsid w:val="00666ED2"/>
    <w:rsid w:val="00747D3E"/>
    <w:rsid w:val="007506DF"/>
    <w:rsid w:val="00772CFF"/>
    <w:rsid w:val="007A50B9"/>
    <w:rsid w:val="007B08E7"/>
    <w:rsid w:val="007D042A"/>
    <w:rsid w:val="0083796E"/>
    <w:rsid w:val="008C3FDF"/>
    <w:rsid w:val="008D4031"/>
    <w:rsid w:val="008F3E90"/>
    <w:rsid w:val="009008C6"/>
    <w:rsid w:val="009856D4"/>
    <w:rsid w:val="009962A7"/>
    <w:rsid w:val="009A4B25"/>
    <w:rsid w:val="009D0BF4"/>
    <w:rsid w:val="009E3021"/>
    <w:rsid w:val="009E3EB0"/>
    <w:rsid w:val="00A141C3"/>
    <w:rsid w:val="00A24CF7"/>
    <w:rsid w:val="00A65D0D"/>
    <w:rsid w:val="00AB08BE"/>
    <w:rsid w:val="00B55070"/>
    <w:rsid w:val="00B56306"/>
    <w:rsid w:val="00B659F1"/>
    <w:rsid w:val="00B8473E"/>
    <w:rsid w:val="00BD560F"/>
    <w:rsid w:val="00BD74CD"/>
    <w:rsid w:val="00BE556B"/>
    <w:rsid w:val="00C1550F"/>
    <w:rsid w:val="00C1788F"/>
    <w:rsid w:val="00C41E2E"/>
    <w:rsid w:val="00CD02F8"/>
    <w:rsid w:val="00CD5DEE"/>
    <w:rsid w:val="00D741D2"/>
    <w:rsid w:val="00D804EF"/>
    <w:rsid w:val="00D94DD9"/>
    <w:rsid w:val="00DB6CF9"/>
    <w:rsid w:val="00DC7667"/>
    <w:rsid w:val="00F00C76"/>
    <w:rsid w:val="00F3047B"/>
    <w:rsid w:val="00F5246B"/>
    <w:rsid w:val="00F67B20"/>
    <w:rsid w:val="00FB7B98"/>
    <w:rsid w:val="00FC7256"/>
    <w:rsid w:val="00FD37FF"/>
    <w:rsid w:val="00FF7A2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C5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00C76"/>
    <w:pPr>
      <w:spacing w:after="160" w:line="259" w:lineRule="auto"/>
    </w:pPr>
    <w:rPr>
      <w:sz w:val="22"/>
      <w:szCs w:val="22"/>
      <w:lang w:val="es-EC"/>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C3FDF"/>
    <w:pPr>
      <w:tabs>
        <w:tab w:val="center" w:pos="4252"/>
        <w:tab w:val="right" w:pos="8504"/>
      </w:tabs>
      <w:spacing w:after="0" w:line="240" w:lineRule="auto"/>
    </w:pPr>
    <w:rPr>
      <w:sz w:val="24"/>
      <w:szCs w:val="24"/>
      <w:lang w:val="es-ES_tradnl"/>
    </w:rPr>
  </w:style>
  <w:style w:type="character" w:customStyle="1" w:styleId="EncabezadoCar">
    <w:name w:val="Encabezado Car"/>
    <w:basedOn w:val="Fuentedeprrafopredeter"/>
    <w:link w:val="Encabezado"/>
    <w:uiPriority w:val="99"/>
    <w:rsid w:val="008C3FDF"/>
  </w:style>
  <w:style w:type="paragraph" w:styleId="Piedepgina">
    <w:name w:val="footer"/>
    <w:basedOn w:val="Normal"/>
    <w:link w:val="PiedepginaCar"/>
    <w:uiPriority w:val="99"/>
    <w:unhideWhenUsed/>
    <w:rsid w:val="008C3FDF"/>
    <w:pPr>
      <w:tabs>
        <w:tab w:val="center" w:pos="4252"/>
        <w:tab w:val="right" w:pos="8504"/>
      </w:tabs>
      <w:spacing w:after="0" w:line="240" w:lineRule="auto"/>
    </w:pPr>
    <w:rPr>
      <w:sz w:val="24"/>
      <w:szCs w:val="24"/>
      <w:lang w:val="es-ES_tradnl"/>
    </w:rPr>
  </w:style>
  <w:style w:type="character" w:customStyle="1" w:styleId="PiedepginaCar">
    <w:name w:val="Pie de página Car"/>
    <w:basedOn w:val="Fuentedeprrafopredeter"/>
    <w:link w:val="Piedepgina"/>
    <w:uiPriority w:val="99"/>
    <w:rsid w:val="008C3FDF"/>
  </w:style>
  <w:style w:type="table" w:styleId="Tablaconcuadrcula">
    <w:name w:val="Table Grid"/>
    <w:basedOn w:val="Tablanormal"/>
    <w:uiPriority w:val="39"/>
    <w:rsid w:val="004C35C3"/>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C35C3"/>
    <w:rPr>
      <w:color w:val="0563C1" w:themeColor="hyperlink"/>
      <w:u w:val="single"/>
    </w:rPr>
  </w:style>
  <w:style w:type="character" w:styleId="Hipervnculovisitado">
    <w:name w:val="FollowedHyperlink"/>
    <w:basedOn w:val="Fuentedeprrafopredeter"/>
    <w:uiPriority w:val="99"/>
    <w:semiHidden/>
    <w:unhideWhenUsed/>
    <w:rsid w:val="005C17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944</Words>
  <Characters>5197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Suarez Espinosa, Valeria Paola</cp:lastModifiedBy>
  <cp:revision>3</cp:revision>
  <dcterms:created xsi:type="dcterms:W3CDTF">2026-08-04T17:07:00Z</dcterms:created>
  <dcterms:modified xsi:type="dcterms:W3CDTF">2026-08-04T17:14:00Z</dcterms:modified>
</cp:coreProperties>
</file>