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7625E" w14:textId="1BEB5C21"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fldChar w:fldCharType="begin"/>
      </w:r>
      <w:r w:rsidRPr="00B65BD2">
        <w:rPr>
          <w:rFonts w:asciiTheme="minorHAnsi" w:hAnsiTheme="minorHAnsi" w:cstheme="minorHAnsi"/>
          <w:sz w:val="22"/>
          <w:szCs w:val="22"/>
        </w:rPr>
        <w:instrText xml:space="preserve"> HYPERLINK "javascript:Vincular(2042468)" </w:instrText>
      </w:r>
      <w:r w:rsidRPr="00B65BD2">
        <w:rPr>
          <w:rFonts w:asciiTheme="minorHAnsi" w:hAnsiTheme="minorHAnsi" w:cstheme="minorHAnsi"/>
          <w:sz w:val="22"/>
          <w:szCs w:val="22"/>
        </w:rPr>
        <w:fldChar w:fldCharType="separate"/>
      </w:r>
      <w:r w:rsidRPr="00B65BD2">
        <w:rPr>
          <w:rStyle w:val="Hipervnculo"/>
          <w:rFonts w:asciiTheme="minorHAnsi" w:hAnsiTheme="minorHAnsi" w:cstheme="minorHAnsi"/>
          <w:b/>
          <w:bCs/>
          <w:sz w:val="22"/>
          <w:szCs w:val="22"/>
        </w:rPr>
        <w:t>Art. 37.-</w:t>
      </w:r>
      <w:r w:rsidRPr="00B65BD2">
        <w:rPr>
          <w:rFonts w:asciiTheme="minorHAnsi" w:hAnsiTheme="minorHAnsi" w:cstheme="minorHAnsi"/>
          <w:sz w:val="22"/>
          <w:szCs w:val="22"/>
        </w:rPr>
        <w:fldChar w:fldCharType="end"/>
      </w:r>
      <w:r w:rsidRPr="00B65BD2">
        <w:rPr>
          <w:rFonts w:asciiTheme="minorHAnsi" w:hAnsiTheme="minorHAnsi" w:cstheme="minorHAnsi"/>
          <w:sz w:val="22"/>
          <w:szCs w:val="22"/>
        </w:rPr>
        <w:t xml:space="preserve"> </w:t>
      </w:r>
      <w:r w:rsidRPr="00B65BD2">
        <w:rPr>
          <w:rFonts w:asciiTheme="minorHAnsi" w:hAnsiTheme="minorHAnsi" w:cstheme="minorHAnsi"/>
          <w:b/>
          <w:bCs/>
          <w:sz w:val="22"/>
          <w:szCs w:val="22"/>
        </w:rPr>
        <w:t xml:space="preserve">Tarifa del impuesto a la renta para </w:t>
      </w:r>
      <w:proofErr w:type="gramStart"/>
      <w:r w:rsidRPr="00B65BD2">
        <w:rPr>
          <w:rFonts w:asciiTheme="minorHAnsi" w:hAnsiTheme="minorHAnsi" w:cstheme="minorHAnsi"/>
          <w:b/>
          <w:bCs/>
          <w:sz w:val="22"/>
          <w:szCs w:val="22"/>
        </w:rPr>
        <w:t>sociedades.-</w:t>
      </w:r>
      <w:proofErr w:type="gramEnd"/>
      <w:r w:rsidRPr="00B65BD2">
        <w:rPr>
          <w:rFonts w:asciiTheme="minorHAnsi" w:hAnsiTheme="minorHAnsi" w:cstheme="minorHAnsi"/>
          <w:b/>
          <w:bCs/>
          <w:sz w:val="22"/>
          <w:szCs w:val="22"/>
        </w:rPr>
        <w:t xml:space="preserve"> </w:t>
      </w:r>
      <w:r w:rsidRPr="00B65BD2">
        <w:rPr>
          <w:rFonts w:asciiTheme="minorHAnsi" w:hAnsiTheme="minorHAnsi" w:cstheme="minorHAnsi"/>
          <w:sz w:val="22"/>
          <w:szCs w:val="22"/>
        </w:rPr>
        <w:t xml:space="preserve">(Sustituido por la Disposición reformatoria segunda, </w:t>
      </w:r>
      <w:proofErr w:type="spellStart"/>
      <w:r w:rsidRPr="00B65BD2">
        <w:rPr>
          <w:rFonts w:asciiTheme="minorHAnsi" w:hAnsiTheme="minorHAnsi" w:cstheme="minorHAnsi"/>
          <w:sz w:val="22"/>
          <w:szCs w:val="22"/>
        </w:rPr>
        <w:t>num</w:t>
      </w:r>
      <w:proofErr w:type="spellEnd"/>
      <w:r w:rsidRPr="00B65BD2">
        <w:rPr>
          <w:rFonts w:asciiTheme="minorHAnsi" w:hAnsiTheme="minorHAnsi" w:cstheme="minorHAnsi"/>
          <w:sz w:val="22"/>
          <w:szCs w:val="22"/>
        </w:rPr>
        <w:t xml:space="preserve">. 2.6, de la Ley s/n, R.O. 351-S, 29-XII-2010; reformado por el Art. 1, </w:t>
      </w:r>
      <w:proofErr w:type="spellStart"/>
      <w:r w:rsidRPr="00B65BD2">
        <w:rPr>
          <w:rFonts w:asciiTheme="minorHAnsi" w:hAnsiTheme="minorHAnsi" w:cstheme="minorHAnsi"/>
          <w:sz w:val="22"/>
          <w:szCs w:val="22"/>
        </w:rPr>
        <w:t>lit.</w:t>
      </w:r>
      <w:proofErr w:type="spellEnd"/>
      <w:r w:rsidRPr="00B65BD2">
        <w:rPr>
          <w:rFonts w:asciiTheme="minorHAnsi" w:hAnsiTheme="minorHAnsi" w:cstheme="minorHAnsi"/>
          <w:sz w:val="22"/>
          <w:szCs w:val="22"/>
        </w:rPr>
        <w:t xml:space="preserve"> a de la Ley s/n, R.O. 847-S, 10-XII-2012; reformado por el Art. 18 de la Ley s/n, R.O. 405-S, 29-XII-2014; y, por el </w:t>
      </w:r>
      <w:proofErr w:type="spellStart"/>
      <w:r w:rsidRPr="00B65BD2">
        <w:rPr>
          <w:rFonts w:asciiTheme="minorHAnsi" w:hAnsiTheme="minorHAnsi" w:cstheme="minorHAnsi"/>
          <w:sz w:val="22"/>
          <w:szCs w:val="22"/>
        </w:rPr>
        <w:t>num</w:t>
      </w:r>
      <w:proofErr w:type="spellEnd"/>
      <w:r w:rsidRPr="00B65BD2">
        <w:rPr>
          <w:rFonts w:asciiTheme="minorHAnsi" w:hAnsiTheme="minorHAnsi" w:cstheme="minorHAnsi"/>
          <w:sz w:val="22"/>
          <w:szCs w:val="22"/>
        </w:rPr>
        <w:t xml:space="preserve">. 7 del Art. 1 de la Ley s/n, R.O. 150-2S, 29-XII-2017; y, reformado por el </w:t>
      </w:r>
      <w:proofErr w:type="spellStart"/>
      <w:r w:rsidRPr="00B65BD2">
        <w:rPr>
          <w:rFonts w:asciiTheme="minorHAnsi" w:hAnsiTheme="minorHAnsi" w:cstheme="minorHAnsi"/>
          <w:sz w:val="22"/>
          <w:szCs w:val="22"/>
        </w:rPr>
        <w:t>num</w:t>
      </w:r>
      <w:proofErr w:type="spellEnd"/>
      <w:r w:rsidRPr="00B65BD2">
        <w:rPr>
          <w:rFonts w:asciiTheme="minorHAnsi" w:hAnsiTheme="minorHAnsi" w:cstheme="minorHAnsi"/>
          <w:sz w:val="22"/>
          <w:szCs w:val="22"/>
        </w:rPr>
        <w:t>. 6 del Art. 35 de la Ley s/n, R.O. 309-S, 21-VIII-2018).- Los ingresos gravables obtenidos por sociedades constituidas en el Ecuador, así como por las sucursales de sociedades extranjeras domiciliadas en el país y los establecimientos permanentes de sociedades extranjeras no domiciliadas en el país, aplicarán la tarifa del 25% sobre su base imponible. No obstante, la tarifa impositiva será la correspondiente a sociedades más tres (3) puntos porcentuales cuando:</w:t>
      </w:r>
    </w:p>
    <w:p w14:paraId="083595D4" w14:textId="77777777"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br/>
        <w:t>a) La sociedad tenga accionistas, socios, participes, constituyentes, beneficiarios o similares, sobre cuya composición societaria dicha sociedad haya incumplido su deber de informar de acuerdo con lo establecido en la presente Ley; o,</w:t>
      </w:r>
    </w:p>
    <w:p w14:paraId="0AC1AC27" w14:textId="77777777"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br/>
        <w:t>b) Dentro de la cadena de propiedad de los respectivos derechos representativos de capital, exista un titular residente, establecido o amparado en un paraíso fiscal, jurisdicción de menor imposición o régimen fiscal preferente y el beneficiario efectivo es residente fiscal del Ecuador.</w:t>
      </w:r>
    </w:p>
    <w:p w14:paraId="42F6083E" w14:textId="77777777"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br/>
        <w:t>La adición de tres (3) puntos porcentuales aplicará a toda la base imponible de la sociedad, cuando el porcentaje de participación de accionistas, socios, participes, constituyentes, beneficiarios o similares, por quienes se haya incurrido en cualquiera de las causales referidas en este artículo sea igual o superior al 50% del capital social o de aquel que corresponda a la naturaleza de la sociedad. Cuando la mencionada participación sea inferior al 50%, la tarifa correspondiente a sociedades más tres (3) puntos porcentuales aplicará sobre la proporción de la base imponible que corresponda a dicha participación, de acuerdo a lo indicado en el reglamento.</w:t>
      </w:r>
    </w:p>
    <w:p w14:paraId="73A71593" w14:textId="77777777"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br/>
        <w:t>En caso de que una sociedad informe como último nivel de su cadena de propiedad o como beneficiario efectivo, a una persona natural que no sea residente fiscal del Ecuador y, que por el régimen jurídico de cualquiera de las jurisdicciones involucradas en la cadena de propiedad en cuestión, pueda ser un titular nominal o formal que, en consecuencia, no sea el beneficiario efectivo, ni revele la real propiedad del capital, el deber de informar establecido en el inciso anterior únicamente se entenderá cumplido si es que la sociedad informante demuestra que dicha persona natural es el beneficiario efectivo.</w:t>
      </w:r>
    </w:p>
    <w:p w14:paraId="6BF3AD8C" w14:textId="77777777"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br/>
        <w:t>Para establecer la base imponible de sociedades consideradas microempresas, se deberá deducir adicionalmente un valor equivalente a una (1) fracción básica gravada con tarifa cero (0) de impuesto a la renta para personas naturales.</w:t>
      </w:r>
    </w:p>
    <w:p w14:paraId="7E55CB84" w14:textId="77777777"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br/>
        <w:t xml:space="preserve">Las sociedades exportadoras habituales, así como las que se dediquen a la producción de bienes, incluidas las del sector manufacturero, que posean 50% o más de componente nacional y aquellas sociedades de turismo receptivo, conforme lo determine el Reglamento a esta Ley, que reinviertan sus utilidades en el país, podrán obtener una reducción de diez (10) puntos porcentuales de la tarifa del impuesto a la renta sobre el monto reinvertido en activos productivos, siempre y cuando lo destinen a la adquisición de maquinarias nuevas o equipos nuevos, activos para riego, material vegetativo, plántulas y todo insumo vegetal para producción agrícola, acuícola, forestal, ganadera y de floricultura, que se utilicen para su actividad productiva, así como para la adquisición de bienes relacionados con investigación y tecnología que mejoren productividad, generen diversificación productiva e incremento de empleo; para ello deberán efectuar el correspondiente aumento de capital y cumplir con los requisitos que se establezcan en el reglamento a la presente Ley. El aumento de capital se perfeccionará con la inscripción en el respectivo Registro Mercantil hasta el treinta y uno </w:t>
      </w:r>
      <w:r w:rsidRPr="00B65BD2">
        <w:rPr>
          <w:rFonts w:asciiTheme="minorHAnsi" w:hAnsiTheme="minorHAnsi" w:cstheme="minorHAnsi"/>
          <w:sz w:val="22"/>
          <w:szCs w:val="22"/>
        </w:rPr>
        <w:lastRenderedPageBreak/>
        <w:t>(31) de diciembre del ejercicio impositivo posterior a aquel en que se generaron las utilidades materia de la reinversión.</w:t>
      </w:r>
    </w:p>
    <w:p w14:paraId="3C6D8A4E" w14:textId="77777777"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br/>
        <w:t xml:space="preserve">En casos excepcionales y debidamente justificados mediante informe técnico del Consejo de la Producción y de la Política Económica, el </w:t>
      </w:r>
      <w:proofErr w:type="gramStart"/>
      <w:r w:rsidRPr="00B65BD2">
        <w:rPr>
          <w:rFonts w:asciiTheme="minorHAnsi" w:hAnsiTheme="minorHAnsi" w:cstheme="minorHAnsi"/>
          <w:sz w:val="22"/>
          <w:szCs w:val="22"/>
        </w:rPr>
        <w:t>Presidente</w:t>
      </w:r>
      <w:proofErr w:type="gramEnd"/>
      <w:r w:rsidRPr="00B65BD2">
        <w:rPr>
          <w:rFonts w:asciiTheme="minorHAnsi" w:hAnsiTheme="minorHAnsi" w:cstheme="minorHAnsi"/>
          <w:sz w:val="22"/>
          <w:szCs w:val="22"/>
        </w:rPr>
        <w:t xml:space="preserve"> de la República del Ecuador mediante Decreto Ejecutivo podrá establecer otros activos productivos sobre los que se reinvierta las utilidades y por tanto obtener el descuento de los 10 puntos porcentuales. La definición de activos productivos deberá constar en el Reglamento a la presente Ley.</w:t>
      </w:r>
    </w:p>
    <w:p w14:paraId="515F95D8" w14:textId="77777777"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br/>
        <w:t>Las empresas de exploración y explotación de hidrocarburos estarán sujetas al impuesto mínimo establecido para sociedades sobre su base imponible en los términos del inciso primero del presente artículo.</w:t>
      </w:r>
    </w:p>
    <w:p w14:paraId="5B04728F" w14:textId="77777777"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br/>
        <w:t xml:space="preserve">Cuando una sociedad otorgue a sus socios, accionistas, participes o beneficiarios, préstamos de dinero, o a alguna de sus partes relacionadas préstamos no comerciales, esta operación se considerará como pago de dividendos anticipados y, por consiguiente, la sociedad deberá efectuar la retención correspondiente a la tarifa prevista para sociedades sobre el monto de la operación. </w:t>
      </w:r>
    </w:p>
    <w:p w14:paraId="54ABB1CA" w14:textId="77777777"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br/>
        <w:t>Tal retención será declarada y pagada al mes siguiente de efectuada dentro de los plazos previstos en el reglamento y constituirá crédito tributario para la sociedad en su declaración del impuesto a la renta.</w:t>
      </w:r>
    </w:p>
    <w:p w14:paraId="59D0640E" w14:textId="77777777" w:rsidR="00B65BD2" w:rsidRPr="00B65BD2" w:rsidRDefault="00B65BD2" w:rsidP="00B65BD2">
      <w:pPr>
        <w:jc w:val="both"/>
        <w:rPr>
          <w:rFonts w:asciiTheme="minorHAnsi" w:hAnsiTheme="minorHAnsi" w:cstheme="minorHAnsi"/>
          <w:sz w:val="22"/>
          <w:szCs w:val="22"/>
        </w:rPr>
      </w:pPr>
      <w:r w:rsidRPr="00B65BD2">
        <w:rPr>
          <w:rFonts w:asciiTheme="minorHAnsi" w:hAnsiTheme="minorHAnsi" w:cstheme="minorHAnsi"/>
          <w:sz w:val="22"/>
          <w:szCs w:val="22"/>
        </w:rPr>
        <w:br/>
        <w:t>A todos los efectos previstos en las normas tributarias, cuando se haga referencia a la tarifa del impuesto a la renta de sociedades, entiéndase a aquellas señaladas en el primer inciso del presente artículo según corresponda.</w:t>
      </w:r>
    </w:p>
    <w:p w14:paraId="1EF8FAA3" w14:textId="77777777" w:rsidR="00F93CCA" w:rsidRPr="00B65BD2" w:rsidRDefault="00F93CCA">
      <w:pPr>
        <w:rPr>
          <w:rFonts w:asciiTheme="minorHAnsi" w:hAnsiTheme="minorHAnsi" w:cstheme="minorHAnsi"/>
          <w:sz w:val="22"/>
          <w:szCs w:val="22"/>
        </w:rPr>
      </w:pPr>
    </w:p>
    <w:sectPr w:rsidR="00F93CCA" w:rsidRPr="00B65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D2"/>
    <w:rsid w:val="00B65BD2"/>
    <w:rsid w:val="00F93CC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BC57"/>
  <w15:chartTrackingRefBased/>
  <w15:docId w15:val="{4779B6DF-0C04-4ED4-8650-01C01DD4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D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B65BD2"/>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4829</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veintimilla salazar</dc:creator>
  <cp:keywords/>
  <dc:description/>
  <cp:lastModifiedBy>carlos veintimilla salazar</cp:lastModifiedBy>
  <cp:revision>1</cp:revision>
  <dcterms:created xsi:type="dcterms:W3CDTF">2021-01-15T21:37:00Z</dcterms:created>
  <dcterms:modified xsi:type="dcterms:W3CDTF">2021-01-15T21:40:00Z</dcterms:modified>
</cp:coreProperties>
</file>