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DBB60" w14:textId="41E7DDAC" w:rsidR="001079A0" w:rsidRPr="001079A0" w:rsidRDefault="001079A0" w:rsidP="001079A0">
      <w:pPr>
        <w:jc w:val="both"/>
      </w:pPr>
      <w:r w:rsidRPr="001079A0">
        <w:rPr>
          <w:b/>
          <w:bCs/>
        </w:rPr>
        <w:t xml:space="preserve">Art. 15.- Dividendos </w:t>
      </w:r>
      <w:proofErr w:type="gramStart"/>
      <w:r w:rsidRPr="001079A0">
        <w:rPr>
          <w:b/>
          <w:bCs/>
        </w:rPr>
        <w:t>distribuidos.-</w:t>
      </w:r>
      <w:proofErr w:type="gramEnd"/>
      <w:r w:rsidRPr="001079A0">
        <w:rPr>
          <w:b/>
          <w:bCs/>
        </w:rPr>
        <w:t xml:space="preserve"> </w:t>
      </w:r>
      <w:r w:rsidRPr="001079A0">
        <w:t>Estarán exentos los dividendos calculados después del pago del impuesto a la renta,</w:t>
      </w:r>
      <w:r w:rsidRPr="001079A0">
        <w:t xml:space="preserve"> </w:t>
      </w:r>
      <w:r w:rsidRPr="001079A0">
        <w:t>distribuidos por sociedades residentes o establecimientos permanentes en el Ecuador, a favor de otras sociedades</w:t>
      </w:r>
      <w:r w:rsidRPr="001079A0">
        <w:t xml:space="preserve"> </w:t>
      </w:r>
      <w:r w:rsidRPr="001079A0">
        <w:t>residentes o de establecimientos permanentes en el país; así como aquellos considerados como exentos en disposiciones</w:t>
      </w:r>
      <w:r w:rsidRPr="001079A0">
        <w:t xml:space="preserve"> </w:t>
      </w:r>
      <w:r w:rsidRPr="001079A0">
        <w:t>legales en materia tributaria.</w:t>
      </w:r>
    </w:p>
    <w:p w14:paraId="5C84F9C7" w14:textId="55A07F64" w:rsidR="0086304F" w:rsidRPr="001079A0" w:rsidRDefault="001079A0" w:rsidP="001079A0">
      <w:pPr>
        <w:jc w:val="both"/>
      </w:pPr>
      <w:r w:rsidRPr="001079A0">
        <w:t>La capitalización de utilidades no será considerada como distribución de dividendos, inclusive en los casos en los que dicha</w:t>
      </w:r>
      <w:r w:rsidRPr="001079A0">
        <w:t xml:space="preserve"> </w:t>
      </w:r>
      <w:r w:rsidRPr="001079A0">
        <w:t>capitalización se genere por efectos de la reinversión de utilidades en los términos definidos en el Artículo 37 de la Ley de</w:t>
      </w:r>
      <w:r w:rsidRPr="001079A0">
        <w:t xml:space="preserve"> </w:t>
      </w:r>
      <w:r w:rsidRPr="001079A0">
        <w:t>Régimen Tributario Interno. El incremento en el capital social que genera esta capitalización no será objeto del impuesto a</w:t>
      </w:r>
      <w:r w:rsidRPr="001079A0">
        <w:t xml:space="preserve"> </w:t>
      </w:r>
      <w:r w:rsidRPr="001079A0">
        <w:t>la renta.</w:t>
      </w:r>
    </w:p>
    <w:sectPr w:rsidR="0086304F" w:rsidRPr="001079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BA1"/>
    <w:rsid w:val="001079A0"/>
    <w:rsid w:val="00495449"/>
    <w:rsid w:val="0086304F"/>
    <w:rsid w:val="00A70BA1"/>
    <w:rsid w:val="00AB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69A67"/>
  <w15:chartTrackingRefBased/>
  <w15:docId w15:val="{5F811A47-5857-4B4F-99CF-AB299194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641</Characters>
  <Application>Microsoft Office Word</Application>
  <DocSecurity>0</DocSecurity>
  <Lines>8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2</cp:revision>
  <dcterms:created xsi:type="dcterms:W3CDTF">2025-11-19T21:26:00Z</dcterms:created>
  <dcterms:modified xsi:type="dcterms:W3CDTF">2025-11-19T21:26:00Z</dcterms:modified>
</cp:coreProperties>
</file>