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74148" w14:textId="77777777" w:rsidR="00B55070" w:rsidRDefault="00B55070" w:rsidP="00C1550F">
      <w:pPr>
        <w:jc w:val="both"/>
      </w:pPr>
    </w:p>
    <w:p w14:paraId="565A53E5" w14:textId="22EE88C7" w:rsidR="009E3021" w:rsidRPr="009E3021" w:rsidRDefault="009E3021" w:rsidP="00C1550F">
      <w:pPr>
        <w:jc w:val="both"/>
        <w:rPr>
          <w:b/>
          <w:bCs/>
          <w:u w:val="single"/>
        </w:rPr>
      </w:pPr>
      <w:r w:rsidRPr="009E3021">
        <w:rPr>
          <w:b/>
          <w:bCs/>
          <w:u w:val="single"/>
        </w:rPr>
        <w:t xml:space="preserve">Artículo </w:t>
      </w:r>
      <w:r w:rsidR="00240B56">
        <w:rPr>
          <w:b/>
          <w:bCs/>
          <w:u w:val="single"/>
        </w:rPr>
        <w:t>1</w:t>
      </w:r>
      <w:r w:rsidR="00C1550F">
        <w:rPr>
          <w:b/>
          <w:bCs/>
          <w:u w:val="single"/>
        </w:rPr>
        <w:t>5</w:t>
      </w:r>
      <w:r w:rsidR="00240B56">
        <w:rPr>
          <w:b/>
          <w:bCs/>
          <w:u w:val="single"/>
        </w:rPr>
        <w:t>4</w:t>
      </w:r>
      <w:r w:rsidRPr="009E3021">
        <w:rPr>
          <w:b/>
          <w:bCs/>
          <w:u w:val="single"/>
        </w:rPr>
        <w:t xml:space="preserve"> de</w:t>
      </w:r>
      <w:r w:rsidR="00240B56">
        <w:rPr>
          <w:b/>
          <w:bCs/>
          <w:u w:val="single"/>
        </w:rPr>
        <w:t>l Reglamento a</w:t>
      </w:r>
      <w:r w:rsidRPr="009E3021">
        <w:rPr>
          <w:b/>
          <w:bCs/>
          <w:u w:val="single"/>
        </w:rPr>
        <w:t xml:space="preserve"> la Ley de Régimen Tributario Interno.</w:t>
      </w:r>
    </w:p>
    <w:p w14:paraId="12C53F30" w14:textId="77777777" w:rsidR="007B08E7" w:rsidRDefault="007B08E7" w:rsidP="00C1550F">
      <w:pPr>
        <w:jc w:val="both"/>
      </w:pPr>
    </w:p>
    <w:p w14:paraId="28357E75" w14:textId="77777777" w:rsidR="005B73A8" w:rsidRDefault="00240B56" w:rsidP="00C1550F">
      <w:pPr>
        <w:jc w:val="both"/>
      </w:pPr>
      <w:r w:rsidRPr="00240B56">
        <w:t xml:space="preserve">Art. 154.- Crédito Tributario en la comercialización de paquetes de turismo receptivo.- Los operadores de turismo receptivo que facturen paquetes de turismo receptivo dentro o fuera del país, a personas naturales o sociedades no residentes en el Ecuador, tendrán derecho a crédito tributario por el IVA pagado y, de ser el caso, por el IVA retenido cuando corresponda, en la adquisición local o el IVA pagado en la importación de: bienes, activos fijos, materias primas, insumos o servicios que integren el paquete de turismo receptivo facturado. </w:t>
      </w:r>
    </w:p>
    <w:p w14:paraId="07C44005" w14:textId="77777777" w:rsidR="005B73A8" w:rsidRDefault="00240B56" w:rsidP="00C1550F">
      <w:pPr>
        <w:jc w:val="both"/>
      </w:pPr>
      <w:r w:rsidRPr="00240B56">
        <w:t xml:space="preserve">El uso del crédito tributario se sujetará a las normas que para el efecto se han previsto en este Reglamento. </w:t>
      </w:r>
    </w:p>
    <w:p w14:paraId="27ED923E" w14:textId="77777777" w:rsidR="005B73A8" w:rsidRDefault="00240B56" w:rsidP="00C1550F">
      <w:pPr>
        <w:jc w:val="both"/>
      </w:pPr>
      <w:r w:rsidRPr="00240B56">
        <w:t xml:space="preserve">Cuando por cualquier circunstancia el crédito tributario resultante no se haya compensado con el IVA causado dentro del mes siguiente, el operador de turismo receptivo podrá solicitar al </w:t>
      </w:r>
      <w:proofErr w:type="gramStart"/>
      <w:r w:rsidRPr="00240B56">
        <w:t>Director</w:t>
      </w:r>
      <w:proofErr w:type="gramEnd"/>
      <w:r w:rsidRPr="00240B56">
        <w:t xml:space="preserve"> Zonal o Provincial del Servicio de Rentas Internas, la devolución del crédito tributario originado por las adquisiciones locales o importaciones de: bienes, activos fijos, materias primas, insumos o servicios necesarios para la conformación y comercialización del paquete de turismo receptivo. </w:t>
      </w:r>
    </w:p>
    <w:p w14:paraId="6503B7A8" w14:textId="77777777" w:rsidR="005B73A8" w:rsidRDefault="00240B56" w:rsidP="00C1550F">
      <w:pPr>
        <w:jc w:val="both"/>
      </w:pPr>
      <w:r w:rsidRPr="00240B56">
        <w:t xml:space="preserve">En el caso de adquisición local o importación de activos fijos, el IVA será devuelto aplicando un factor de proporcionalidad que represente el total de ventas de paquetes de turismo receptivo dentro o fuera del país, frente al total de las ventas declaradas, del total de las declaraciones de los 6 meses precedentes a la adquisición del activo fijo. </w:t>
      </w:r>
    </w:p>
    <w:p w14:paraId="3823C8EE" w14:textId="77777777" w:rsidR="005B73A8" w:rsidRDefault="00240B56" w:rsidP="00C1550F">
      <w:pPr>
        <w:jc w:val="both"/>
      </w:pPr>
      <w:r w:rsidRPr="00240B56">
        <w:t xml:space="preserve">Los contribuyentes que inicien sus </w:t>
      </w:r>
      <w:proofErr w:type="gramStart"/>
      <w:r w:rsidRPr="00240B56">
        <w:t>actividades,</w:t>
      </w:r>
      <w:proofErr w:type="gramEnd"/>
      <w:r w:rsidRPr="00240B56">
        <w:t xml:space="preserve"> podrán solicitar la devolución del IVA de activos fijos luego de que hayan transcurrido 6 meses desde su primera venta de paquetes de turismo receptivo. En estos casos el factor de proporcionalidad aplicable al mes </w:t>
      </w:r>
      <w:proofErr w:type="gramStart"/>
      <w:r w:rsidRPr="00240B56">
        <w:t>solicitado,</w:t>
      </w:r>
      <w:proofErr w:type="gramEnd"/>
      <w:r w:rsidRPr="00240B56">
        <w:t xml:space="preserve"> será calculado </w:t>
      </w:r>
      <w:proofErr w:type="gramStart"/>
      <w:r w:rsidRPr="00240B56">
        <w:t>de acuerdo al</w:t>
      </w:r>
      <w:proofErr w:type="gramEnd"/>
      <w:r w:rsidRPr="00240B56">
        <w:t xml:space="preserve"> total de ventas de paquetes de turismo receptivo dentro o fuera del país frente al total de ventas declaradas de los 6 meses precedentes a la fecha de solicitud. </w:t>
      </w:r>
    </w:p>
    <w:p w14:paraId="63221966" w14:textId="77777777" w:rsidR="005B73A8" w:rsidRDefault="00240B56" w:rsidP="00C1550F">
      <w:pPr>
        <w:jc w:val="both"/>
      </w:pPr>
      <w:r w:rsidRPr="00240B56">
        <w:t xml:space="preserve">En el caso de operadores de turismo receptivo que no registren ventas de paquetes de turismo receptivo en los 6 meses precedentes a la fecha de solicitud, se deberán considerar los 6 meses posteriores a la adquisición del activo fijo. </w:t>
      </w:r>
    </w:p>
    <w:p w14:paraId="4AD37C2F" w14:textId="77777777" w:rsidR="005B73A8" w:rsidRDefault="00240B56" w:rsidP="00C1550F">
      <w:pPr>
        <w:jc w:val="both"/>
      </w:pPr>
      <w:r w:rsidRPr="00240B56">
        <w:t xml:space="preserve">El valor que se devuelva por parte del Servicio de Rentas Internas por concepto del IVA no podrá exceder del doce por ciento (12%) del valor de los paquetes de turismo receptivo facturados en ese mismo período. </w:t>
      </w:r>
    </w:p>
    <w:p w14:paraId="4FE24FA9" w14:textId="77777777" w:rsidR="005B73A8" w:rsidRDefault="00240B56" w:rsidP="00C1550F">
      <w:pPr>
        <w:jc w:val="both"/>
      </w:pPr>
      <w:r w:rsidRPr="00240B56">
        <w:lastRenderedPageBreak/>
        <w:t xml:space="preserve">El saldo al que tenga derecho el Operador de Turismo Receptivo y que no haya sido objeto de devolución será recuperado en base a las ventas futuras de dichos paquetes. </w:t>
      </w:r>
    </w:p>
    <w:p w14:paraId="424C089A" w14:textId="77777777" w:rsidR="005B73A8" w:rsidRDefault="00240B56" w:rsidP="00C1550F">
      <w:pPr>
        <w:jc w:val="both"/>
      </w:pPr>
      <w:r w:rsidRPr="00240B56">
        <w:t xml:space="preserve">La devolución de los saldos del IVA a favor del contribuyente se realizará conforme al procedimiento que para el efecto el Servicio de Rentas Internas establezca mediante resolución. </w:t>
      </w:r>
    </w:p>
    <w:p w14:paraId="4C0AEDB5" w14:textId="5EF04320" w:rsidR="00240B56" w:rsidRDefault="00240B56" w:rsidP="00C1550F">
      <w:pPr>
        <w:jc w:val="both"/>
      </w:pPr>
      <w:r w:rsidRPr="00240B56">
        <w:t xml:space="preserve">Nota: Incisos primero y </w:t>
      </w:r>
      <w:proofErr w:type="gramStart"/>
      <w:r w:rsidRPr="00240B56">
        <w:t>tercero reformados</w:t>
      </w:r>
      <w:proofErr w:type="gramEnd"/>
      <w:r w:rsidRPr="00240B56">
        <w:t xml:space="preserve"> por artículo 52 de Decreto Ejecutivo No. 1114, publicado en Registro Oficial Suplemento 260 de 4 de </w:t>
      </w:r>
      <w:proofErr w:type="gramStart"/>
      <w:r w:rsidRPr="00240B56">
        <w:t>Agosto</w:t>
      </w:r>
      <w:proofErr w:type="gramEnd"/>
      <w:r w:rsidRPr="00240B56">
        <w:t xml:space="preserve"> del 2020.</w:t>
      </w:r>
      <w:r>
        <w:tab/>
      </w:r>
    </w:p>
    <w:sectPr w:rsidR="00240B56" w:rsidSect="004C35C3">
      <w:headerReference w:type="default" r:id="rId6"/>
      <w:footerReference w:type="default" r:id="rId7"/>
      <w:pgSz w:w="11900" w:h="16840"/>
      <w:pgMar w:top="2837" w:right="1977" w:bottom="1417" w:left="1985" w:header="0" w:footer="2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9939C" w14:textId="77777777" w:rsidR="00A647FE" w:rsidRDefault="00A647FE" w:rsidP="008C3FDF">
      <w:pPr>
        <w:spacing w:after="0" w:line="240" w:lineRule="auto"/>
      </w:pPr>
      <w:r>
        <w:separator/>
      </w:r>
    </w:p>
  </w:endnote>
  <w:endnote w:type="continuationSeparator" w:id="0">
    <w:p w14:paraId="0543451A" w14:textId="77777777" w:rsidR="00A647FE" w:rsidRDefault="00A647FE" w:rsidP="008C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88DE9" w14:textId="75ED937B" w:rsidR="008C3FDF" w:rsidRDefault="00B56306" w:rsidP="004C35C3">
    <w:pPr>
      <w:pStyle w:val="Piedepgina"/>
      <w:tabs>
        <w:tab w:val="clear" w:pos="8504"/>
      </w:tabs>
      <w:ind w:left="-1985"/>
    </w:pPr>
    <w:r>
      <w:rPr>
        <w:noProof/>
        <w:lang w:eastAsia="es-ES_tradnl"/>
      </w:rPr>
      <w:drawing>
        <wp:anchor distT="0" distB="0" distL="114300" distR="114300" simplePos="0" relativeHeight="251663360" behindDoc="1" locked="0" layoutInCell="1" allowOverlap="1" wp14:anchorId="3E00FE24" wp14:editId="5BEA9FAC">
          <wp:simplePos x="0" y="0"/>
          <wp:positionH relativeFrom="column">
            <wp:posOffset>-1260475</wp:posOffset>
          </wp:positionH>
          <wp:positionV relativeFrom="page">
            <wp:posOffset>8621486</wp:posOffset>
          </wp:positionV>
          <wp:extent cx="7693244" cy="2089459"/>
          <wp:effectExtent l="0" t="0" r="3175" b="635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" r="110"/>
                  <a:stretch>
                    <a:fillRect/>
                  </a:stretch>
                </pic:blipFill>
                <pic:spPr bwMode="auto">
                  <a:xfrm>
                    <a:off x="0" y="0"/>
                    <a:ext cx="7693244" cy="20894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560F">
      <w:rPr>
        <w:noProof/>
        <w:lang w:eastAsia="es-ES_tradnl"/>
      </w:rPr>
      <w:drawing>
        <wp:anchor distT="0" distB="0" distL="114300" distR="114300" simplePos="0" relativeHeight="251661312" behindDoc="0" locked="0" layoutInCell="1" allowOverlap="1" wp14:anchorId="39D0E362" wp14:editId="363FCC25">
          <wp:simplePos x="0" y="0"/>
          <wp:positionH relativeFrom="column">
            <wp:posOffset>-934550</wp:posOffset>
          </wp:positionH>
          <wp:positionV relativeFrom="paragraph">
            <wp:posOffset>826713</wp:posOffset>
          </wp:positionV>
          <wp:extent cx="935355" cy="203200"/>
          <wp:effectExtent l="0" t="0" r="4445" b="0"/>
          <wp:wrapNone/>
          <wp:docPr id="6640032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003294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949" cy="204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CEF2" w14:textId="77777777" w:rsidR="00A647FE" w:rsidRDefault="00A647FE" w:rsidP="008C3FDF">
      <w:pPr>
        <w:spacing w:after="0" w:line="240" w:lineRule="auto"/>
      </w:pPr>
      <w:r>
        <w:separator/>
      </w:r>
    </w:p>
  </w:footnote>
  <w:footnote w:type="continuationSeparator" w:id="0">
    <w:p w14:paraId="4D39A677" w14:textId="77777777" w:rsidR="00A647FE" w:rsidRDefault="00A647FE" w:rsidP="008C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9C19E" w14:textId="1A8D4299" w:rsidR="008C3FDF" w:rsidRDefault="00BD560F" w:rsidP="005B587A">
    <w:pPr>
      <w:pStyle w:val="Encabezado"/>
      <w:tabs>
        <w:tab w:val="clear" w:pos="8504"/>
        <w:tab w:val="right" w:pos="8498"/>
      </w:tabs>
      <w:ind w:left="-1985"/>
    </w:pPr>
    <w:r w:rsidRPr="00BD560F">
      <w:rPr>
        <w:noProof/>
      </w:rPr>
      <w:drawing>
        <wp:anchor distT="0" distB="0" distL="114300" distR="114300" simplePos="0" relativeHeight="251664384" behindDoc="1" locked="0" layoutInCell="1" allowOverlap="1" wp14:anchorId="769C92F9" wp14:editId="0FE0CC4F">
          <wp:simplePos x="0" y="0"/>
          <wp:positionH relativeFrom="column">
            <wp:posOffset>2287904</wp:posOffset>
          </wp:positionH>
          <wp:positionV relativeFrom="paragraph">
            <wp:posOffset>-20320</wp:posOffset>
          </wp:positionV>
          <wp:extent cx="4015727" cy="172720"/>
          <wp:effectExtent l="0" t="0" r="0" b="5080"/>
          <wp:wrapNone/>
          <wp:docPr id="9023072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307286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2178" cy="2095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6ED2">
      <w:rPr>
        <w:noProof/>
      </w:rPr>
      <w:drawing>
        <wp:anchor distT="0" distB="0" distL="114300" distR="114300" simplePos="0" relativeHeight="251660288" behindDoc="0" locked="0" layoutInCell="1" allowOverlap="1" wp14:anchorId="7F5C1899" wp14:editId="5C5512E0">
          <wp:simplePos x="0" y="0"/>
          <wp:positionH relativeFrom="column">
            <wp:posOffset>4955268</wp:posOffset>
          </wp:positionH>
          <wp:positionV relativeFrom="paragraph">
            <wp:posOffset>558800</wp:posOffset>
          </wp:positionV>
          <wp:extent cx="796925" cy="558800"/>
          <wp:effectExtent l="0" t="0" r="0" b="0"/>
          <wp:wrapNone/>
          <wp:docPr id="3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1" r="1511"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3FDF">
      <w:rPr>
        <w:noProof/>
        <w:lang w:eastAsia="es-ES_tradnl"/>
      </w:rPr>
      <w:drawing>
        <wp:inline distT="0" distB="0" distL="0" distR="0" wp14:anchorId="795D3CCC" wp14:editId="44A5BF97">
          <wp:extent cx="2036149" cy="1491361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3028" t="-42384" r="10" b="-22638"/>
                  <a:stretch/>
                </pic:blipFill>
                <pic:spPr bwMode="auto">
                  <a:xfrm>
                    <a:off x="0" y="0"/>
                    <a:ext cx="2036149" cy="14913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DF"/>
    <w:rsid w:val="00023A2E"/>
    <w:rsid w:val="000733D3"/>
    <w:rsid w:val="000816A1"/>
    <w:rsid w:val="0009117D"/>
    <w:rsid w:val="00160594"/>
    <w:rsid w:val="001C1361"/>
    <w:rsid w:val="001D3A17"/>
    <w:rsid w:val="00212342"/>
    <w:rsid w:val="002405B9"/>
    <w:rsid w:val="00240B56"/>
    <w:rsid w:val="00252778"/>
    <w:rsid w:val="00267626"/>
    <w:rsid w:val="00273886"/>
    <w:rsid w:val="00294227"/>
    <w:rsid w:val="002C1193"/>
    <w:rsid w:val="002F695E"/>
    <w:rsid w:val="003223A8"/>
    <w:rsid w:val="004072B5"/>
    <w:rsid w:val="00487E6E"/>
    <w:rsid w:val="004C35C3"/>
    <w:rsid w:val="0052386E"/>
    <w:rsid w:val="00527157"/>
    <w:rsid w:val="005932E4"/>
    <w:rsid w:val="005B587A"/>
    <w:rsid w:val="005B73A8"/>
    <w:rsid w:val="005C17E2"/>
    <w:rsid w:val="005E1B37"/>
    <w:rsid w:val="005F1A70"/>
    <w:rsid w:val="00665060"/>
    <w:rsid w:val="00666ED2"/>
    <w:rsid w:val="00747D3E"/>
    <w:rsid w:val="007506DF"/>
    <w:rsid w:val="00772CFF"/>
    <w:rsid w:val="007A50B9"/>
    <w:rsid w:val="007B08E7"/>
    <w:rsid w:val="0083796E"/>
    <w:rsid w:val="008C3FDF"/>
    <w:rsid w:val="008D4031"/>
    <w:rsid w:val="008F3E90"/>
    <w:rsid w:val="009856D4"/>
    <w:rsid w:val="009962A7"/>
    <w:rsid w:val="009A4B25"/>
    <w:rsid w:val="009D0BF4"/>
    <w:rsid w:val="009E3021"/>
    <w:rsid w:val="009E3EB0"/>
    <w:rsid w:val="00A141C3"/>
    <w:rsid w:val="00A24CF7"/>
    <w:rsid w:val="00A647FE"/>
    <w:rsid w:val="00A65D0D"/>
    <w:rsid w:val="00AB08BE"/>
    <w:rsid w:val="00B55070"/>
    <w:rsid w:val="00B56306"/>
    <w:rsid w:val="00B659F1"/>
    <w:rsid w:val="00B8473E"/>
    <w:rsid w:val="00BD560F"/>
    <w:rsid w:val="00BD74CD"/>
    <w:rsid w:val="00BE556B"/>
    <w:rsid w:val="00C1550F"/>
    <w:rsid w:val="00C1788F"/>
    <w:rsid w:val="00C41E2E"/>
    <w:rsid w:val="00CD02F8"/>
    <w:rsid w:val="00CD5DEE"/>
    <w:rsid w:val="00D741D2"/>
    <w:rsid w:val="00D804EF"/>
    <w:rsid w:val="00D94DD9"/>
    <w:rsid w:val="00DB6CF9"/>
    <w:rsid w:val="00DC7667"/>
    <w:rsid w:val="00F00C76"/>
    <w:rsid w:val="00F3047B"/>
    <w:rsid w:val="00F5246B"/>
    <w:rsid w:val="00F67B20"/>
    <w:rsid w:val="00FB7B98"/>
    <w:rsid w:val="00FC7256"/>
    <w:rsid w:val="00FD37FF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BC5F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00C76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8C3FDF"/>
  </w:style>
  <w:style w:type="paragraph" w:styleId="Piedepgina">
    <w:name w:val="footer"/>
    <w:basedOn w:val="Normal"/>
    <w:link w:val="Piedepgina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sz w:val="24"/>
      <w:szCs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C3FDF"/>
  </w:style>
  <w:style w:type="table" w:styleId="Tablaconcuadrcula">
    <w:name w:val="Table Grid"/>
    <w:basedOn w:val="Tablanormal"/>
    <w:uiPriority w:val="39"/>
    <w:rsid w:val="004C35C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C35C3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C17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Suarez Espinosa, Valeria Paola</cp:lastModifiedBy>
  <cp:revision>4</cp:revision>
  <dcterms:created xsi:type="dcterms:W3CDTF">2026-08-04T17:15:00Z</dcterms:created>
  <dcterms:modified xsi:type="dcterms:W3CDTF">2026-08-04T17:17:00Z</dcterms:modified>
</cp:coreProperties>
</file>