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A32AA" w14:textId="77777777" w:rsidR="00D34E44" w:rsidRPr="00160081" w:rsidRDefault="00D34E44" w:rsidP="00D34E44">
      <w:pPr>
        <w:pStyle w:val="Default"/>
        <w:jc w:val="center"/>
        <w:rPr>
          <w:rFonts w:asciiTheme="minorHAnsi" w:eastAsia="Times New Roman" w:hAnsiTheme="minorHAnsi" w:cstheme="minorHAnsi"/>
          <w:b/>
          <w:color w:val="00000A"/>
          <w:sz w:val="20"/>
          <w:szCs w:val="20"/>
        </w:rPr>
      </w:pPr>
      <w:r w:rsidRPr="00160081">
        <w:rPr>
          <w:rFonts w:asciiTheme="minorHAnsi" w:eastAsia="Times New Roman" w:hAnsiTheme="minorHAnsi" w:cstheme="minorHAnsi"/>
          <w:b/>
          <w:color w:val="00000A"/>
          <w:sz w:val="20"/>
          <w:szCs w:val="20"/>
        </w:rPr>
        <w:t>CONVOCATORIA PARA LA ELABORACIÓN DEL ESTUDIO DE MERCADO</w:t>
      </w:r>
    </w:p>
    <w:p w14:paraId="3526A9F5" w14:textId="77777777" w:rsidR="00D34E44" w:rsidRPr="00160081" w:rsidRDefault="00D34E44" w:rsidP="00D34E44">
      <w:pPr>
        <w:pStyle w:val="Default"/>
        <w:jc w:val="both"/>
        <w:rPr>
          <w:rFonts w:asciiTheme="minorHAnsi" w:eastAsia="Times New Roman" w:hAnsiTheme="minorHAnsi" w:cstheme="minorHAnsi"/>
          <w:b/>
          <w:color w:val="00000A"/>
          <w:sz w:val="20"/>
          <w:szCs w:val="20"/>
        </w:rPr>
      </w:pPr>
    </w:p>
    <w:p w14:paraId="2752DBC5" w14:textId="77777777" w:rsidR="00D34E44" w:rsidRPr="00160081" w:rsidRDefault="00D34E44" w:rsidP="00D34E44">
      <w:pPr>
        <w:spacing w:after="0" w:line="240" w:lineRule="auto"/>
        <w:jc w:val="both"/>
        <w:rPr>
          <w:rFonts w:eastAsia="Times New Roman" w:cstheme="minorHAnsi"/>
          <w:b/>
          <w:bCs/>
          <w:sz w:val="20"/>
          <w:szCs w:val="20"/>
          <w:lang w:eastAsia="es-EC"/>
        </w:rPr>
      </w:pPr>
    </w:p>
    <w:p w14:paraId="30C5DE26" w14:textId="07CFB86E" w:rsidR="00D34E44" w:rsidRPr="00160081" w:rsidRDefault="00D34E44" w:rsidP="00D34E44">
      <w:pPr>
        <w:pStyle w:val="Textoindependiente"/>
        <w:jc w:val="both"/>
        <w:rPr>
          <w:rFonts w:asciiTheme="minorHAnsi" w:eastAsia="Arial" w:hAnsiTheme="minorHAnsi" w:cstheme="minorHAnsi"/>
          <w:b/>
          <w:bCs/>
          <w:spacing w:val="-1"/>
        </w:rPr>
      </w:pPr>
      <w:r w:rsidRPr="00160081">
        <w:rPr>
          <w:rFonts w:asciiTheme="minorHAnsi" w:eastAsia="Times New Roman" w:hAnsiTheme="minorHAnsi" w:cstheme="minorHAnsi"/>
        </w:rPr>
        <w:t xml:space="preserve">El Servicio de Rentas Internas (SRI) a través de la Dirección Nacional de Planificación y Gestión Estratégica, convoca a proveedores nacionales e internacionales a participar en el proceso de elaboración del Estudio de Mercado para la </w:t>
      </w:r>
      <w:r w:rsidRPr="00160081">
        <w:rPr>
          <w:rFonts w:asciiTheme="minorHAnsi" w:eastAsia="Times New Roman" w:hAnsiTheme="minorHAnsi" w:cstheme="minorHAnsi"/>
          <w:b/>
          <w:bCs/>
        </w:rPr>
        <w:t>“</w:t>
      </w:r>
      <w:r w:rsidRPr="00160081">
        <w:rPr>
          <w:rFonts w:asciiTheme="minorHAnsi" w:eastAsia="Arial" w:hAnsiTheme="minorHAnsi" w:cstheme="minorHAnsi"/>
          <w:b/>
          <w:bCs/>
          <w:spacing w:val="-1"/>
        </w:rPr>
        <w:t>ADQUISICIÓN DE UNA SUITE TECNOLÓGICA INTEGRAL: BPMS, ECM, BRMS, GESTIÓN DE TRÁMITES</w:t>
      </w:r>
      <w:r w:rsidR="00CB18BC" w:rsidRPr="00160081">
        <w:rPr>
          <w:rFonts w:asciiTheme="minorHAnsi" w:eastAsia="Arial" w:hAnsiTheme="minorHAnsi" w:cstheme="minorHAnsi"/>
          <w:b/>
          <w:bCs/>
          <w:spacing w:val="-1"/>
        </w:rPr>
        <w:t>,</w:t>
      </w:r>
      <w:r w:rsidRPr="00160081">
        <w:rPr>
          <w:rFonts w:asciiTheme="minorHAnsi" w:eastAsia="Arial" w:hAnsiTheme="minorHAnsi" w:cstheme="minorHAnsi"/>
          <w:b/>
          <w:bCs/>
          <w:spacing w:val="-1"/>
        </w:rPr>
        <w:t xml:space="preserve"> GESTIÓN DE RIESGOS E IMPLEMENTACIÓN DE CASOS DE USO”.</w:t>
      </w:r>
    </w:p>
    <w:p w14:paraId="31E81985" w14:textId="77777777" w:rsidR="00D34E44" w:rsidRPr="00160081" w:rsidRDefault="00D34E44" w:rsidP="00D34E44">
      <w:pPr>
        <w:pStyle w:val="Default"/>
        <w:jc w:val="both"/>
        <w:rPr>
          <w:rFonts w:asciiTheme="minorHAnsi" w:eastAsia="Times New Roman" w:hAnsiTheme="minorHAnsi" w:cstheme="minorHAnsi"/>
          <w:sz w:val="20"/>
          <w:szCs w:val="20"/>
        </w:rPr>
      </w:pPr>
    </w:p>
    <w:p w14:paraId="3027C242"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Este estudio de mercado será utilizado para la definición del presupuesto referencial previo a la publicación del proceso de adquisición.</w:t>
      </w:r>
    </w:p>
    <w:p w14:paraId="005427A3" w14:textId="77777777" w:rsidR="00D34E44" w:rsidRPr="00160081" w:rsidRDefault="00D34E44" w:rsidP="00D34E44">
      <w:pPr>
        <w:pStyle w:val="Default"/>
        <w:jc w:val="both"/>
        <w:rPr>
          <w:rFonts w:asciiTheme="minorHAnsi" w:eastAsia="Times New Roman" w:hAnsiTheme="minorHAnsi" w:cstheme="minorHAnsi"/>
          <w:sz w:val="20"/>
          <w:szCs w:val="20"/>
        </w:rPr>
      </w:pPr>
    </w:p>
    <w:p w14:paraId="37813A88"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El precio referencial de los servicios deberá considerar los siguientes aspectos:</w:t>
      </w:r>
    </w:p>
    <w:p w14:paraId="73AF5496" w14:textId="77777777" w:rsidR="00D34E44" w:rsidRPr="00160081" w:rsidRDefault="00D34E44" w:rsidP="00D34E44">
      <w:pPr>
        <w:pStyle w:val="Default"/>
        <w:jc w:val="both"/>
        <w:rPr>
          <w:rFonts w:asciiTheme="minorHAnsi" w:eastAsia="Times New Roman" w:hAnsiTheme="minorHAnsi" w:cstheme="minorHAnsi"/>
          <w:sz w:val="20"/>
          <w:szCs w:val="20"/>
        </w:rPr>
      </w:pPr>
    </w:p>
    <w:p w14:paraId="284CFD46" w14:textId="77777777" w:rsidR="00D34E44" w:rsidRPr="00160081" w:rsidRDefault="00D34E44" w:rsidP="00D34E44">
      <w:pPr>
        <w:pStyle w:val="Default"/>
        <w:numPr>
          <w:ilvl w:val="0"/>
          <w:numId w:val="1"/>
        </w:numPr>
        <w:rPr>
          <w:rFonts w:asciiTheme="minorHAnsi" w:hAnsiTheme="minorHAnsi" w:cstheme="minorHAnsi"/>
          <w:sz w:val="20"/>
          <w:szCs w:val="20"/>
        </w:rPr>
      </w:pPr>
      <w:r w:rsidRPr="00160081">
        <w:rPr>
          <w:rFonts w:asciiTheme="minorHAnsi" w:eastAsia="Times New Roman" w:hAnsiTheme="minorHAnsi" w:cstheme="minorHAnsi"/>
          <w:sz w:val="20"/>
          <w:szCs w:val="20"/>
        </w:rPr>
        <w:t>Las especificaciones técnicas detalladas adelante;</w:t>
      </w:r>
    </w:p>
    <w:p w14:paraId="2C9D26CB" w14:textId="77777777" w:rsidR="00D34E44" w:rsidRPr="00160081" w:rsidRDefault="00D34E44" w:rsidP="00D34E44">
      <w:pPr>
        <w:pStyle w:val="LO-normal"/>
        <w:numPr>
          <w:ilvl w:val="0"/>
          <w:numId w:val="1"/>
        </w:numPr>
        <w:spacing w:after="0" w:line="240" w:lineRule="auto"/>
        <w:rPr>
          <w:rFonts w:asciiTheme="minorHAnsi" w:hAnsiTheme="minorHAnsi" w:cstheme="minorHAnsi"/>
        </w:rPr>
      </w:pPr>
      <w:r w:rsidRPr="00160081">
        <w:rPr>
          <w:rFonts w:asciiTheme="minorHAnsi" w:eastAsia="Times New Roman" w:hAnsiTheme="minorHAnsi" w:cstheme="minorHAnsi"/>
        </w:rPr>
        <w:t>La vigencia de la cotización no debe ser menor a 120 días;</w:t>
      </w:r>
    </w:p>
    <w:p w14:paraId="23E614B6" w14:textId="77777777" w:rsidR="00D34E44" w:rsidRPr="00160081" w:rsidRDefault="00D34E44" w:rsidP="00D34E44">
      <w:pPr>
        <w:pStyle w:val="Default"/>
        <w:numPr>
          <w:ilvl w:val="0"/>
          <w:numId w:val="1"/>
        </w:numPr>
        <w:jc w:val="both"/>
        <w:rPr>
          <w:rFonts w:asciiTheme="minorHAnsi" w:eastAsia="Calibri" w:hAnsiTheme="minorHAnsi" w:cstheme="minorHAnsi"/>
          <w:sz w:val="20"/>
          <w:szCs w:val="20"/>
          <w:lang w:eastAsia="en-US"/>
        </w:rPr>
      </w:pPr>
      <w:r w:rsidRPr="00160081">
        <w:rPr>
          <w:rFonts w:asciiTheme="minorHAnsi" w:eastAsia="Times New Roman" w:hAnsiTheme="minorHAnsi" w:cstheme="minorHAnsi"/>
          <w:sz w:val="20"/>
          <w:szCs w:val="20"/>
        </w:rPr>
        <w:t xml:space="preserve">La </w:t>
      </w:r>
      <w:r w:rsidRPr="00160081">
        <w:rPr>
          <w:rFonts w:asciiTheme="minorHAnsi" w:eastAsia="Calibri" w:hAnsiTheme="minorHAnsi" w:cstheme="minorHAnsi"/>
          <w:sz w:val="20"/>
          <w:szCs w:val="20"/>
          <w:lang w:eastAsia="en-US"/>
        </w:rPr>
        <w:t xml:space="preserve">fuente de financiamiento será realizada con recursos del Banco Interamericano de Desarrollo, por lo que los oferentes deberán pertenecer a los países miembros del BID; </w:t>
      </w:r>
    </w:p>
    <w:p w14:paraId="4CB55139" w14:textId="62DA49D0" w:rsidR="00D34E44" w:rsidRPr="00160081" w:rsidRDefault="00D34E44" w:rsidP="00D34E44">
      <w:pPr>
        <w:pStyle w:val="Default"/>
        <w:numPr>
          <w:ilvl w:val="0"/>
          <w:numId w:val="1"/>
        </w:numPr>
        <w:jc w:val="both"/>
        <w:rPr>
          <w:rFonts w:asciiTheme="minorHAnsi" w:eastAsia="Calibri" w:hAnsiTheme="minorHAnsi" w:cstheme="minorHAnsi"/>
          <w:sz w:val="20"/>
          <w:szCs w:val="20"/>
          <w:lang w:eastAsia="en-US"/>
        </w:rPr>
      </w:pPr>
      <w:r w:rsidRPr="00160081">
        <w:rPr>
          <w:rFonts w:asciiTheme="minorHAnsi" w:eastAsia="Calibri" w:hAnsiTheme="minorHAnsi" w:cstheme="minorHAnsi"/>
          <w:sz w:val="20"/>
          <w:szCs w:val="20"/>
          <w:lang w:eastAsia="en-US"/>
        </w:rPr>
        <w:t xml:space="preserve">El plazo total del contrato es de hasta </w:t>
      </w:r>
      <w:r w:rsidR="00CB18BC" w:rsidRPr="00160081">
        <w:rPr>
          <w:rFonts w:asciiTheme="minorHAnsi" w:eastAsia="Calibri" w:hAnsiTheme="minorHAnsi" w:cstheme="minorHAnsi"/>
          <w:sz w:val="20"/>
          <w:szCs w:val="20"/>
          <w:lang w:eastAsia="en-US"/>
        </w:rPr>
        <w:t>844</w:t>
      </w:r>
      <w:r w:rsidRPr="00160081">
        <w:rPr>
          <w:rFonts w:asciiTheme="minorHAnsi" w:eastAsia="Calibri" w:hAnsiTheme="minorHAnsi" w:cstheme="minorHAnsi"/>
          <w:sz w:val="20"/>
          <w:szCs w:val="20"/>
          <w:lang w:eastAsia="en-US"/>
        </w:rPr>
        <w:t xml:space="preserve"> días calendario, contados a partir del día siguiente de la </w:t>
      </w:r>
      <w:r w:rsidR="00CB18BC" w:rsidRPr="00160081">
        <w:rPr>
          <w:rFonts w:asciiTheme="minorHAnsi" w:eastAsia="Calibri" w:hAnsiTheme="minorHAnsi" w:cstheme="minorHAnsi"/>
          <w:sz w:val="20"/>
          <w:szCs w:val="20"/>
          <w:lang w:eastAsia="en-US"/>
        </w:rPr>
        <w:t>notificación del administrador del contrato</w:t>
      </w:r>
      <w:r w:rsidR="00E93F89" w:rsidRPr="00160081">
        <w:rPr>
          <w:rFonts w:asciiTheme="minorHAnsi" w:eastAsia="Calibri" w:hAnsiTheme="minorHAnsi" w:cstheme="minorHAnsi"/>
          <w:sz w:val="20"/>
          <w:szCs w:val="20"/>
          <w:lang w:eastAsia="en-US"/>
        </w:rPr>
        <w:t>.</w:t>
      </w:r>
    </w:p>
    <w:p w14:paraId="62F9E001" w14:textId="77777777" w:rsidR="00D34E44" w:rsidRPr="00160081" w:rsidRDefault="00D34E44" w:rsidP="00D34E44">
      <w:pPr>
        <w:pStyle w:val="Default"/>
        <w:jc w:val="both"/>
        <w:rPr>
          <w:rFonts w:asciiTheme="minorHAnsi" w:eastAsia="Times New Roman" w:hAnsiTheme="minorHAnsi" w:cstheme="minorHAnsi"/>
          <w:sz w:val="20"/>
          <w:szCs w:val="20"/>
        </w:rPr>
      </w:pPr>
    </w:p>
    <w:p w14:paraId="27138093" w14:textId="6B694F00" w:rsidR="00D34E44" w:rsidRPr="00160081" w:rsidRDefault="00CB18BC" w:rsidP="00D34E44">
      <w:pPr>
        <w:pStyle w:val="Default"/>
        <w:jc w:val="both"/>
        <w:rPr>
          <w:rFonts w:asciiTheme="minorHAnsi" w:hAnsiTheme="minorHAnsi" w:cstheme="minorHAnsi"/>
          <w:sz w:val="20"/>
          <w:szCs w:val="20"/>
        </w:rPr>
      </w:pPr>
      <w:r w:rsidRPr="00160081">
        <w:rPr>
          <w:rFonts w:asciiTheme="minorHAnsi" w:eastAsia="Times New Roman" w:hAnsiTheme="minorHAnsi" w:cstheme="minorHAnsi"/>
          <w:sz w:val="20"/>
          <w:szCs w:val="20"/>
        </w:rPr>
        <w:t xml:space="preserve">Al presente documento se adjunta el archivo </w:t>
      </w:r>
      <w:r w:rsidR="007F4EF0" w:rsidRPr="00160081">
        <w:rPr>
          <w:rFonts w:asciiTheme="minorHAnsi" w:eastAsia="Times New Roman" w:hAnsiTheme="minorHAnsi" w:cstheme="minorHAnsi"/>
          <w:sz w:val="20"/>
          <w:szCs w:val="20"/>
        </w:rPr>
        <w:t xml:space="preserve">denominado </w:t>
      </w:r>
      <w:r w:rsidRPr="00160081">
        <w:rPr>
          <w:rFonts w:asciiTheme="minorHAnsi" w:eastAsia="Times New Roman" w:hAnsiTheme="minorHAnsi" w:cstheme="minorHAnsi"/>
          <w:sz w:val="20"/>
          <w:szCs w:val="20"/>
        </w:rPr>
        <w:t>“</w:t>
      </w:r>
      <w:bookmarkStart w:id="0" w:name="OLE_LINK59"/>
      <w:r w:rsidRPr="00160081">
        <w:rPr>
          <w:rFonts w:asciiTheme="minorHAnsi" w:eastAsia="Times New Roman" w:hAnsiTheme="minorHAnsi" w:cstheme="minorHAnsi"/>
          <w:sz w:val="20"/>
          <w:szCs w:val="20"/>
        </w:rPr>
        <w:t>Matriz de cumplimiento Requerimientos Funcionales y no Funcionales</w:t>
      </w:r>
      <w:bookmarkEnd w:id="0"/>
      <w:r w:rsidRPr="00160081">
        <w:rPr>
          <w:rFonts w:asciiTheme="minorHAnsi" w:eastAsia="Times New Roman" w:hAnsiTheme="minorHAnsi" w:cstheme="minorHAnsi"/>
          <w:sz w:val="20"/>
          <w:szCs w:val="20"/>
        </w:rPr>
        <w:t>”, para el registro del cumplimiento correspondiente</w:t>
      </w:r>
      <w:r w:rsidR="003E46CA" w:rsidRPr="00160081">
        <w:rPr>
          <w:rFonts w:asciiTheme="minorHAnsi" w:eastAsia="Times New Roman" w:hAnsiTheme="minorHAnsi" w:cstheme="minorHAnsi"/>
          <w:sz w:val="20"/>
          <w:szCs w:val="20"/>
        </w:rPr>
        <w:t xml:space="preserve"> y junto con</w:t>
      </w:r>
      <w:r w:rsidRPr="00160081">
        <w:rPr>
          <w:rFonts w:asciiTheme="minorHAnsi" w:eastAsia="Times New Roman" w:hAnsiTheme="minorHAnsi" w:cstheme="minorHAnsi"/>
          <w:sz w:val="20"/>
          <w:szCs w:val="20"/>
        </w:rPr>
        <w:t xml:space="preserve"> </w:t>
      </w:r>
      <w:r w:rsidR="003E46CA" w:rsidRPr="00160081">
        <w:rPr>
          <w:rFonts w:asciiTheme="minorHAnsi" w:eastAsia="Times New Roman" w:hAnsiTheme="minorHAnsi" w:cstheme="minorHAnsi"/>
          <w:sz w:val="20"/>
          <w:szCs w:val="20"/>
        </w:rPr>
        <w:t>l</w:t>
      </w:r>
      <w:r w:rsidR="00D34E44" w:rsidRPr="00160081">
        <w:rPr>
          <w:rFonts w:asciiTheme="minorHAnsi" w:eastAsia="Times New Roman" w:hAnsiTheme="minorHAnsi" w:cstheme="minorHAnsi"/>
          <w:sz w:val="20"/>
          <w:szCs w:val="20"/>
        </w:rPr>
        <w:t>as cotizaciones en formato digital (firmadas), a</w:t>
      </w:r>
      <w:r w:rsidR="00E93F89" w:rsidRPr="00160081">
        <w:rPr>
          <w:rFonts w:asciiTheme="minorHAnsi" w:eastAsia="Times New Roman" w:hAnsiTheme="minorHAnsi" w:cstheme="minorHAnsi"/>
          <w:sz w:val="20"/>
          <w:szCs w:val="20"/>
        </w:rPr>
        <w:t xml:space="preserve"> </w:t>
      </w:r>
      <w:r w:rsidR="00D34E44" w:rsidRPr="00160081">
        <w:rPr>
          <w:rFonts w:asciiTheme="minorHAnsi" w:eastAsia="Times New Roman" w:hAnsiTheme="minorHAnsi" w:cstheme="minorHAnsi"/>
          <w:sz w:val="20"/>
          <w:szCs w:val="20"/>
        </w:rPr>
        <w:t>l</w:t>
      </w:r>
      <w:r w:rsidR="00E93F89" w:rsidRPr="00160081">
        <w:rPr>
          <w:rFonts w:asciiTheme="minorHAnsi" w:eastAsia="Times New Roman" w:hAnsiTheme="minorHAnsi" w:cstheme="minorHAnsi"/>
          <w:sz w:val="20"/>
          <w:szCs w:val="20"/>
        </w:rPr>
        <w:t>os</w:t>
      </w:r>
      <w:r w:rsidR="00D34E44" w:rsidRPr="00160081">
        <w:rPr>
          <w:rFonts w:asciiTheme="minorHAnsi" w:eastAsia="Times New Roman" w:hAnsiTheme="minorHAnsi" w:cstheme="minorHAnsi"/>
          <w:sz w:val="20"/>
          <w:szCs w:val="20"/>
        </w:rPr>
        <w:t xml:space="preserve"> </w:t>
      </w:r>
      <w:r w:rsidR="00E93F89" w:rsidRPr="00160081">
        <w:rPr>
          <w:rFonts w:asciiTheme="minorHAnsi" w:eastAsia="Times New Roman" w:hAnsiTheme="minorHAnsi" w:cstheme="minorHAnsi"/>
          <w:sz w:val="20"/>
          <w:szCs w:val="20"/>
        </w:rPr>
        <w:t xml:space="preserve">siguientes </w:t>
      </w:r>
      <w:r w:rsidR="00D34E44" w:rsidRPr="00160081">
        <w:rPr>
          <w:rFonts w:asciiTheme="minorHAnsi" w:eastAsia="Times New Roman" w:hAnsiTheme="minorHAnsi" w:cstheme="minorHAnsi"/>
          <w:sz w:val="20"/>
          <w:szCs w:val="20"/>
        </w:rPr>
        <w:t>correo</w:t>
      </w:r>
      <w:r w:rsidR="00E93F89" w:rsidRPr="00160081">
        <w:rPr>
          <w:rFonts w:asciiTheme="minorHAnsi" w:eastAsia="Times New Roman" w:hAnsiTheme="minorHAnsi" w:cstheme="minorHAnsi"/>
          <w:sz w:val="20"/>
          <w:szCs w:val="20"/>
        </w:rPr>
        <w:t>s</w:t>
      </w:r>
      <w:r w:rsidR="00D34E44" w:rsidRPr="00160081">
        <w:rPr>
          <w:rFonts w:asciiTheme="minorHAnsi" w:eastAsia="Times New Roman" w:hAnsiTheme="minorHAnsi" w:cstheme="minorHAnsi"/>
          <w:sz w:val="20"/>
          <w:szCs w:val="20"/>
        </w:rPr>
        <w:t xml:space="preserve"> institucional</w:t>
      </w:r>
      <w:r w:rsidR="00E93F89" w:rsidRPr="00160081">
        <w:rPr>
          <w:rFonts w:asciiTheme="minorHAnsi" w:eastAsia="Times New Roman" w:hAnsiTheme="minorHAnsi" w:cstheme="minorHAnsi"/>
          <w:sz w:val="20"/>
          <w:szCs w:val="20"/>
        </w:rPr>
        <w:t>es</w:t>
      </w:r>
      <w:r w:rsidR="00D34E44" w:rsidRPr="00160081">
        <w:rPr>
          <w:rFonts w:asciiTheme="minorHAnsi" w:eastAsia="Times New Roman" w:hAnsiTheme="minorHAnsi" w:cstheme="minorHAnsi"/>
          <w:sz w:val="20"/>
          <w:szCs w:val="20"/>
        </w:rPr>
        <w:t xml:space="preserve"> </w:t>
      </w:r>
      <w:hyperlink r:id="rId7" w:history="1">
        <w:r w:rsidR="00E93F89" w:rsidRPr="00160081">
          <w:rPr>
            <w:rStyle w:val="Hipervnculo"/>
            <w:rFonts w:asciiTheme="minorHAnsi" w:eastAsia="Times New Roman" w:hAnsiTheme="minorHAnsi" w:cstheme="minorHAnsi"/>
            <w:sz w:val="20"/>
            <w:szCs w:val="20"/>
          </w:rPr>
          <w:t>vavillamarin@sri.gob.ec</w:t>
        </w:r>
      </w:hyperlink>
      <w:r w:rsidR="00E93F89" w:rsidRPr="00160081">
        <w:rPr>
          <w:rStyle w:val="Hipervnculo"/>
          <w:rFonts w:asciiTheme="minorHAnsi" w:hAnsiTheme="minorHAnsi" w:cstheme="minorHAnsi"/>
          <w:sz w:val="20"/>
          <w:szCs w:val="20"/>
        </w:rPr>
        <w:t xml:space="preserve">; </w:t>
      </w:r>
      <w:hyperlink r:id="rId8" w:history="1">
        <w:r w:rsidR="00E93F89" w:rsidRPr="00160081">
          <w:rPr>
            <w:rStyle w:val="Hipervnculo"/>
            <w:rFonts w:asciiTheme="minorHAnsi" w:eastAsia="Times New Roman" w:hAnsiTheme="minorHAnsi" w:cstheme="minorHAnsi"/>
            <w:sz w:val="20"/>
            <w:szCs w:val="20"/>
          </w:rPr>
          <w:t>amvalarezo@sri.gob.ec</w:t>
        </w:r>
      </w:hyperlink>
      <w:r w:rsidR="00E93F89" w:rsidRPr="00160081">
        <w:rPr>
          <w:rStyle w:val="Hipervnculo"/>
          <w:rFonts w:asciiTheme="minorHAnsi" w:hAnsiTheme="minorHAnsi" w:cstheme="minorHAnsi"/>
          <w:sz w:val="20"/>
          <w:szCs w:val="20"/>
        </w:rPr>
        <w:t>; jdmaza@sri.gob.ec</w:t>
      </w:r>
      <w:r w:rsidR="00D34E44" w:rsidRPr="00160081">
        <w:rPr>
          <w:rFonts w:asciiTheme="minorHAnsi" w:hAnsiTheme="minorHAnsi" w:cstheme="minorHAnsi"/>
          <w:color w:val="FF0000"/>
          <w:sz w:val="20"/>
          <w:szCs w:val="20"/>
        </w:rPr>
        <w:t xml:space="preserve"> </w:t>
      </w:r>
      <w:r w:rsidR="00D34E44" w:rsidRPr="00160081">
        <w:rPr>
          <w:rFonts w:asciiTheme="minorHAnsi" w:eastAsia="Times New Roman" w:hAnsiTheme="minorHAnsi" w:cstheme="minorHAnsi"/>
          <w:sz w:val="20"/>
          <w:szCs w:val="20"/>
        </w:rPr>
        <w:t>hasta el día 20 de marzo de 2026, hasta las 16:00 horas con los siguientes datos:</w:t>
      </w:r>
    </w:p>
    <w:p w14:paraId="323844B2" w14:textId="77777777" w:rsidR="00D34E44" w:rsidRPr="00160081" w:rsidRDefault="00D34E44" w:rsidP="00D34E44">
      <w:pPr>
        <w:pStyle w:val="Default"/>
        <w:jc w:val="both"/>
        <w:rPr>
          <w:rFonts w:asciiTheme="minorHAnsi" w:eastAsia="Times New Roman" w:hAnsiTheme="minorHAnsi" w:cstheme="minorHAnsi"/>
          <w:b/>
          <w:sz w:val="20"/>
          <w:szCs w:val="20"/>
        </w:rPr>
      </w:pPr>
    </w:p>
    <w:p w14:paraId="33B02A78" w14:textId="77777777" w:rsidR="00D34E44" w:rsidRPr="00160081" w:rsidRDefault="00D34E44" w:rsidP="00D34E44">
      <w:pPr>
        <w:pStyle w:val="Default"/>
        <w:jc w:val="both"/>
        <w:rPr>
          <w:rFonts w:asciiTheme="minorHAnsi" w:eastAsia="Times New Roman" w:hAnsiTheme="minorHAnsi" w:cstheme="minorHAnsi"/>
          <w:b/>
          <w:sz w:val="20"/>
          <w:szCs w:val="20"/>
        </w:rPr>
      </w:pPr>
      <w:r w:rsidRPr="00160081">
        <w:rPr>
          <w:rFonts w:asciiTheme="minorHAnsi" w:eastAsia="Times New Roman" w:hAnsiTheme="minorHAnsi" w:cstheme="minorHAnsi"/>
          <w:b/>
          <w:sz w:val="20"/>
          <w:szCs w:val="20"/>
        </w:rPr>
        <w:t>Datos del oferente:</w:t>
      </w:r>
    </w:p>
    <w:p w14:paraId="085A1437" w14:textId="77777777" w:rsidR="00D34E44" w:rsidRPr="00160081" w:rsidRDefault="00D34E44" w:rsidP="00D34E44">
      <w:pPr>
        <w:pStyle w:val="Default"/>
        <w:jc w:val="both"/>
        <w:rPr>
          <w:rFonts w:asciiTheme="minorHAnsi" w:eastAsia="Times New Roman" w:hAnsiTheme="minorHAnsi" w:cstheme="minorHAnsi"/>
          <w:b/>
          <w:sz w:val="20"/>
          <w:szCs w:val="20"/>
        </w:rPr>
      </w:pPr>
    </w:p>
    <w:p w14:paraId="02C63490" w14:textId="77777777" w:rsidR="00D34E44" w:rsidRPr="00160081" w:rsidRDefault="00D34E44" w:rsidP="00D34E44">
      <w:pPr>
        <w:pStyle w:val="Default"/>
        <w:jc w:val="both"/>
        <w:rPr>
          <w:rFonts w:asciiTheme="minorHAnsi" w:hAnsiTheme="minorHAnsi" w:cstheme="minorHAnsi"/>
          <w:sz w:val="20"/>
          <w:szCs w:val="20"/>
        </w:rPr>
      </w:pPr>
      <w:r w:rsidRPr="00160081">
        <w:rPr>
          <w:rFonts w:asciiTheme="minorHAnsi" w:eastAsia="Times New Roman" w:hAnsiTheme="minorHAnsi" w:cstheme="minorHAnsi"/>
          <w:sz w:val="20"/>
          <w:szCs w:val="20"/>
        </w:rPr>
        <w:t>Razón Social:</w:t>
      </w:r>
    </w:p>
    <w:p w14:paraId="08DB1CBB" w14:textId="77777777" w:rsidR="00D34E44" w:rsidRPr="00160081" w:rsidRDefault="00D34E44" w:rsidP="00D34E44">
      <w:pPr>
        <w:pStyle w:val="Default"/>
        <w:jc w:val="both"/>
        <w:rPr>
          <w:rFonts w:asciiTheme="minorHAnsi" w:hAnsiTheme="minorHAnsi" w:cstheme="minorHAnsi"/>
          <w:sz w:val="20"/>
          <w:szCs w:val="20"/>
        </w:rPr>
      </w:pPr>
      <w:r w:rsidRPr="00160081">
        <w:rPr>
          <w:rFonts w:asciiTheme="minorHAnsi" w:eastAsia="Times New Roman" w:hAnsiTheme="minorHAnsi" w:cstheme="minorHAnsi"/>
          <w:sz w:val="20"/>
          <w:szCs w:val="20"/>
        </w:rPr>
        <w:t>RUC / ID:</w:t>
      </w:r>
    </w:p>
    <w:p w14:paraId="58E9F00D"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 xml:space="preserve">Dirección: </w:t>
      </w:r>
    </w:p>
    <w:p w14:paraId="21AB0373"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Teléfono:</w:t>
      </w:r>
    </w:p>
    <w:p w14:paraId="38B00A13"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Correo electrónico:</w:t>
      </w:r>
    </w:p>
    <w:p w14:paraId="547F56B0" w14:textId="77777777" w:rsidR="00D34E44" w:rsidRPr="00160081" w:rsidRDefault="00D34E44" w:rsidP="00D34E44">
      <w:pPr>
        <w:pStyle w:val="Default"/>
        <w:jc w:val="both"/>
        <w:rPr>
          <w:rFonts w:asciiTheme="minorHAnsi" w:hAnsiTheme="minorHAnsi" w:cstheme="minorHAnsi"/>
          <w:sz w:val="20"/>
          <w:szCs w:val="20"/>
        </w:rPr>
      </w:pPr>
      <w:r w:rsidRPr="00160081">
        <w:rPr>
          <w:rFonts w:asciiTheme="minorHAnsi" w:eastAsia="Times New Roman" w:hAnsiTheme="minorHAnsi" w:cstheme="minorHAnsi"/>
          <w:sz w:val="20"/>
          <w:szCs w:val="20"/>
        </w:rPr>
        <w:t xml:space="preserve">Fecha de emisión de la cotización: </w:t>
      </w:r>
    </w:p>
    <w:p w14:paraId="342D8B55" w14:textId="77777777" w:rsidR="00D34E44" w:rsidRPr="00160081" w:rsidRDefault="00D34E44" w:rsidP="00D34E44">
      <w:pPr>
        <w:pStyle w:val="Default"/>
        <w:jc w:val="both"/>
        <w:rPr>
          <w:rFonts w:asciiTheme="minorHAnsi" w:hAnsiTheme="minorHAnsi" w:cstheme="minorHAnsi"/>
          <w:sz w:val="20"/>
          <w:szCs w:val="20"/>
        </w:rPr>
      </w:pPr>
      <w:r w:rsidRPr="00160081">
        <w:rPr>
          <w:rFonts w:asciiTheme="minorHAnsi" w:eastAsia="Times New Roman" w:hAnsiTheme="minorHAnsi" w:cstheme="minorHAnsi"/>
          <w:sz w:val="20"/>
          <w:szCs w:val="20"/>
        </w:rPr>
        <w:t>Vigencia de la cotización: (no debe ser menor a 120 días)</w:t>
      </w:r>
    </w:p>
    <w:p w14:paraId="52471D36" w14:textId="77777777" w:rsidR="00D34E44" w:rsidRPr="00160081" w:rsidRDefault="00D34E44" w:rsidP="00D34E44">
      <w:pPr>
        <w:pStyle w:val="Default"/>
        <w:jc w:val="both"/>
        <w:rPr>
          <w:rFonts w:asciiTheme="minorHAnsi" w:eastAsia="Times New Roman" w:hAnsiTheme="minorHAnsi" w:cstheme="minorHAnsi"/>
          <w:sz w:val="20"/>
          <w:szCs w:val="20"/>
        </w:rPr>
      </w:pPr>
      <w:r w:rsidRPr="00160081">
        <w:rPr>
          <w:rFonts w:asciiTheme="minorHAnsi" w:eastAsia="Times New Roman" w:hAnsiTheme="minorHAnsi" w:cstheme="minorHAnsi"/>
          <w:sz w:val="20"/>
          <w:szCs w:val="20"/>
        </w:rPr>
        <w:t>Firma de responsabilidad.</w:t>
      </w:r>
    </w:p>
    <w:p w14:paraId="0D387896" w14:textId="77777777" w:rsidR="00D34E44" w:rsidRPr="00160081" w:rsidRDefault="00D34E44" w:rsidP="00D34E44">
      <w:pPr>
        <w:pStyle w:val="Default"/>
        <w:jc w:val="both"/>
        <w:rPr>
          <w:rFonts w:asciiTheme="minorHAnsi" w:hAnsiTheme="minorHAnsi" w:cstheme="minorHAnsi"/>
          <w:sz w:val="20"/>
          <w:szCs w:val="20"/>
        </w:rPr>
      </w:pPr>
    </w:p>
    <w:p w14:paraId="4A76CF69" w14:textId="77777777" w:rsidR="00D34E44" w:rsidRPr="00160081" w:rsidRDefault="00D34E44" w:rsidP="00D34E44">
      <w:pPr>
        <w:pStyle w:val="Default"/>
        <w:jc w:val="both"/>
        <w:rPr>
          <w:rFonts w:asciiTheme="minorHAnsi" w:eastAsia="Times New Roman" w:hAnsiTheme="minorHAnsi" w:cstheme="minorHAnsi"/>
          <w:b/>
          <w:sz w:val="20"/>
          <w:szCs w:val="20"/>
        </w:rPr>
      </w:pPr>
      <w:r w:rsidRPr="00160081">
        <w:rPr>
          <w:rFonts w:asciiTheme="minorHAnsi" w:eastAsia="Times New Roman" w:hAnsiTheme="minorHAnsi" w:cstheme="minorHAnsi"/>
          <w:b/>
          <w:sz w:val="20"/>
          <w:szCs w:val="20"/>
        </w:rPr>
        <w:t>Datos del contratante:</w:t>
      </w:r>
    </w:p>
    <w:p w14:paraId="4AFFBC78" w14:textId="77777777" w:rsidR="00D34E44" w:rsidRPr="00160081" w:rsidRDefault="00D34E44" w:rsidP="00D34E44">
      <w:pPr>
        <w:pStyle w:val="Default"/>
        <w:jc w:val="both"/>
        <w:rPr>
          <w:rFonts w:asciiTheme="minorHAnsi" w:eastAsia="Times New Roman" w:hAnsiTheme="minorHAnsi" w:cstheme="minorHAnsi"/>
          <w:b/>
          <w:sz w:val="20"/>
          <w:szCs w:val="20"/>
        </w:rPr>
      </w:pPr>
    </w:p>
    <w:p w14:paraId="4FEE32D1" w14:textId="77777777" w:rsidR="00D34E44" w:rsidRPr="00160081" w:rsidRDefault="00D34E44" w:rsidP="00D34E44">
      <w:pPr>
        <w:spacing w:after="0" w:line="240" w:lineRule="auto"/>
        <w:jc w:val="both"/>
        <w:rPr>
          <w:rFonts w:cstheme="minorHAnsi"/>
          <w:sz w:val="20"/>
          <w:szCs w:val="20"/>
        </w:rPr>
      </w:pPr>
      <w:r w:rsidRPr="00160081">
        <w:rPr>
          <w:rFonts w:eastAsia="Times New Roman" w:cstheme="minorHAnsi"/>
          <w:color w:val="000000"/>
          <w:sz w:val="20"/>
          <w:szCs w:val="20"/>
          <w:lang w:eastAsia="es-EC"/>
        </w:rPr>
        <w:t>A nombre de: Servicio de Rentas Internas</w:t>
      </w:r>
    </w:p>
    <w:p w14:paraId="002052FF" w14:textId="77777777" w:rsidR="00D34E44" w:rsidRPr="00160081" w:rsidRDefault="00D34E44" w:rsidP="00D34E44">
      <w:pPr>
        <w:spacing w:after="0" w:line="240" w:lineRule="auto"/>
        <w:jc w:val="both"/>
        <w:rPr>
          <w:rFonts w:eastAsia="Times New Roman" w:cstheme="minorHAnsi"/>
          <w:color w:val="000000"/>
          <w:sz w:val="20"/>
          <w:szCs w:val="20"/>
          <w:lang w:eastAsia="es-EC"/>
        </w:rPr>
      </w:pPr>
      <w:r w:rsidRPr="00160081">
        <w:rPr>
          <w:rFonts w:eastAsia="Times New Roman" w:cstheme="minorHAnsi"/>
          <w:color w:val="000000"/>
          <w:sz w:val="20"/>
          <w:szCs w:val="20"/>
          <w:lang w:eastAsia="es-EC"/>
        </w:rPr>
        <w:t>RUC:  1760013210001</w:t>
      </w:r>
    </w:p>
    <w:p w14:paraId="731CB6A8" w14:textId="77777777" w:rsidR="00D34E44" w:rsidRPr="00160081" w:rsidRDefault="00D34E44" w:rsidP="00D34E44">
      <w:pPr>
        <w:spacing w:after="0" w:line="240" w:lineRule="auto"/>
        <w:jc w:val="both"/>
        <w:rPr>
          <w:rFonts w:eastAsia="Times New Roman" w:cstheme="minorHAnsi"/>
          <w:b/>
          <w:bCs/>
          <w:sz w:val="20"/>
          <w:szCs w:val="20"/>
          <w:lang w:eastAsia="es-EC"/>
        </w:rPr>
      </w:pPr>
      <w:r w:rsidRPr="00160081">
        <w:rPr>
          <w:rFonts w:eastAsia="Times New Roman" w:cstheme="minorHAnsi"/>
          <w:b/>
          <w:bCs/>
          <w:sz w:val="20"/>
          <w:szCs w:val="20"/>
          <w:lang w:eastAsia="es-EC"/>
        </w:rPr>
        <w:t>Formato Presentación Cotización:</w:t>
      </w:r>
    </w:p>
    <w:p w14:paraId="2F9849D0" w14:textId="77777777" w:rsidR="00D34E44" w:rsidRPr="00160081" w:rsidRDefault="00D34E44" w:rsidP="00D34E44">
      <w:pPr>
        <w:spacing w:after="0" w:line="240" w:lineRule="auto"/>
        <w:jc w:val="both"/>
        <w:rPr>
          <w:rFonts w:eastAsia="Times New Roman" w:cstheme="minorHAnsi"/>
          <w:b/>
          <w:bCs/>
          <w:sz w:val="20"/>
          <w:szCs w:val="20"/>
          <w:lang w:eastAsia="es-EC"/>
        </w:rPr>
      </w:pPr>
    </w:p>
    <w:p w14:paraId="00547F51" w14:textId="77777777" w:rsidR="00D34E44" w:rsidRPr="00160081" w:rsidRDefault="00D34E44" w:rsidP="00D34E44">
      <w:pPr>
        <w:spacing w:after="0" w:line="240" w:lineRule="auto"/>
        <w:jc w:val="both"/>
        <w:rPr>
          <w:rFonts w:eastAsia="Times New Roman" w:cstheme="minorHAnsi"/>
          <w:b/>
          <w:bCs/>
          <w:sz w:val="20"/>
          <w:szCs w:val="20"/>
          <w:lang w:eastAsia="es-EC"/>
        </w:rPr>
      </w:pPr>
      <w:r w:rsidRPr="00160081">
        <w:rPr>
          <w:rFonts w:eastAsia="Times New Roman" w:cstheme="minorHAnsi"/>
          <w:b/>
          <w:bCs/>
          <w:sz w:val="20"/>
          <w:szCs w:val="20"/>
          <w:lang w:eastAsia="es-EC"/>
        </w:rPr>
        <w:t xml:space="preserve">Propuesta Económica: </w:t>
      </w:r>
    </w:p>
    <w:p w14:paraId="44A4F63B" w14:textId="77777777" w:rsidR="00D34E44" w:rsidRPr="00160081" w:rsidRDefault="00D34E44" w:rsidP="00D34E44">
      <w:pPr>
        <w:spacing w:after="0" w:line="240" w:lineRule="auto"/>
        <w:jc w:val="both"/>
        <w:rPr>
          <w:rFonts w:eastAsia="Times New Roman" w:cstheme="minorHAnsi"/>
          <w:b/>
          <w:bCs/>
          <w:sz w:val="20"/>
          <w:szCs w:val="20"/>
          <w:lang w:eastAsia="es-EC"/>
        </w:rPr>
      </w:pPr>
    </w:p>
    <w:p w14:paraId="1ACBF0E3" w14:textId="77777777" w:rsidR="00E93F89" w:rsidRPr="00160081" w:rsidRDefault="00E93F89" w:rsidP="00D34E44">
      <w:pPr>
        <w:spacing w:after="0" w:line="240" w:lineRule="auto"/>
        <w:jc w:val="both"/>
        <w:rPr>
          <w:rFonts w:eastAsia="Times New Roman" w:cstheme="minorHAnsi"/>
          <w:b/>
          <w:bCs/>
          <w:sz w:val="20"/>
          <w:szCs w:val="20"/>
          <w:lang w:eastAsia="es-EC"/>
        </w:rPr>
      </w:pPr>
    </w:p>
    <w:p w14:paraId="0D716D4F" w14:textId="77777777" w:rsidR="00FD2313" w:rsidRPr="00160081" w:rsidRDefault="00FD2313" w:rsidP="009A28A5">
      <w:pPr>
        <w:spacing w:after="0" w:line="240" w:lineRule="auto"/>
        <w:rPr>
          <w:rFonts w:eastAsia="Times New Roman" w:cstheme="minorHAnsi"/>
          <w:b/>
          <w:bCs/>
          <w:color w:val="FFFFFF"/>
          <w:sz w:val="20"/>
          <w:szCs w:val="20"/>
          <w:lang w:val="es-ES" w:eastAsia="es-EC"/>
        </w:rPr>
        <w:sectPr w:rsidR="00FD2313" w:rsidRPr="00160081" w:rsidSect="004C35C3">
          <w:headerReference w:type="default" r:id="rId9"/>
          <w:footerReference w:type="default" r:id="rId10"/>
          <w:pgSz w:w="11900" w:h="16840"/>
          <w:pgMar w:top="2837" w:right="1977" w:bottom="1417" w:left="1985" w:header="0" w:footer="2180" w:gutter="0"/>
          <w:cols w:space="708"/>
          <w:docGrid w:linePitch="360"/>
        </w:sectPr>
      </w:pPr>
    </w:p>
    <w:tbl>
      <w:tblPr>
        <w:tblW w:w="6475" w:type="pct"/>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2"/>
        <w:gridCol w:w="48"/>
        <w:gridCol w:w="612"/>
        <w:gridCol w:w="2664"/>
        <w:gridCol w:w="5041"/>
        <w:gridCol w:w="1775"/>
        <w:gridCol w:w="1299"/>
        <w:gridCol w:w="10"/>
        <w:gridCol w:w="1156"/>
        <w:gridCol w:w="10"/>
        <w:gridCol w:w="2371"/>
        <w:gridCol w:w="9"/>
      </w:tblGrid>
      <w:tr w:rsidR="007F4EF0" w:rsidRPr="00160081" w14:paraId="569A7419" w14:textId="77777777" w:rsidTr="00CA02A6">
        <w:trPr>
          <w:gridAfter w:val="1"/>
          <w:wAfter w:w="3" w:type="pct"/>
          <w:trHeight w:val="300"/>
          <w:tblHeader/>
        </w:trPr>
        <w:tc>
          <w:tcPr>
            <w:tcW w:w="4997" w:type="pct"/>
            <w:gridSpan w:val="11"/>
            <w:shd w:val="clear" w:color="000000" w:fill="336699"/>
            <w:noWrap/>
            <w:vAlign w:val="center"/>
            <w:hideMark/>
          </w:tcPr>
          <w:p w14:paraId="29C3C648"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 xml:space="preserve">DESGLOSE DE SERVICIOS </w:t>
            </w:r>
          </w:p>
        </w:tc>
      </w:tr>
      <w:tr w:rsidR="00CA02A6" w:rsidRPr="00160081" w14:paraId="2C18EF16" w14:textId="77777777" w:rsidTr="00CA02A6">
        <w:trPr>
          <w:gridAfter w:val="1"/>
          <w:wAfter w:w="3" w:type="pct"/>
          <w:trHeight w:val="840"/>
          <w:tblHeader/>
        </w:trPr>
        <w:tc>
          <w:tcPr>
            <w:tcW w:w="397" w:type="pct"/>
            <w:shd w:val="clear" w:color="000000" w:fill="336699"/>
            <w:vAlign w:val="center"/>
            <w:hideMark/>
          </w:tcPr>
          <w:p w14:paraId="7E64C8E8"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Forma de Pago</w:t>
            </w:r>
          </w:p>
        </w:tc>
        <w:tc>
          <w:tcPr>
            <w:tcW w:w="203" w:type="pct"/>
            <w:gridSpan w:val="2"/>
            <w:shd w:val="clear" w:color="000000" w:fill="336699"/>
            <w:vAlign w:val="center"/>
            <w:hideMark/>
          </w:tcPr>
          <w:p w14:paraId="7B7C66B6"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proofErr w:type="spellStart"/>
            <w:r w:rsidRPr="00822B90">
              <w:rPr>
                <w:rFonts w:eastAsia="Times New Roman" w:cstheme="minorHAnsi"/>
                <w:b/>
                <w:bCs/>
                <w:color w:val="FFFFFF"/>
                <w:sz w:val="20"/>
                <w:szCs w:val="20"/>
                <w:lang w:val="es-ES" w:eastAsia="es-EC"/>
              </w:rPr>
              <w:t>Item</w:t>
            </w:r>
            <w:proofErr w:type="spellEnd"/>
          </w:p>
        </w:tc>
        <w:tc>
          <w:tcPr>
            <w:tcW w:w="818" w:type="pct"/>
            <w:shd w:val="clear" w:color="000000" w:fill="336699"/>
            <w:vAlign w:val="center"/>
            <w:hideMark/>
          </w:tcPr>
          <w:p w14:paraId="6E7D4CD3"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Tipo de recurso</w:t>
            </w:r>
          </w:p>
        </w:tc>
        <w:tc>
          <w:tcPr>
            <w:tcW w:w="1548" w:type="pct"/>
            <w:shd w:val="clear" w:color="000000" w:fill="336699"/>
            <w:vAlign w:val="center"/>
            <w:hideMark/>
          </w:tcPr>
          <w:p w14:paraId="57F92C78"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 xml:space="preserve">Descripción </w:t>
            </w:r>
          </w:p>
        </w:tc>
        <w:tc>
          <w:tcPr>
            <w:tcW w:w="545" w:type="pct"/>
            <w:shd w:val="clear" w:color="000000" w:fill="336699"/>
            <w:vAlign w:val="center"/>
            <w:hideMark/>
          </w:tcPr>
          <w:p w14:paraId="0D2BCE24"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Cantidad</w:t>
            </w:r>
          </w:p>
        </w:tc>
        <w:tc>
          <w:tcPr>
            <w:tcW w:w="399" w:type="pct"/>
            <w:shd w:val="clear" w:color="000000" w:fill="336699"/>
            <w:vAlign w:val="center"/>
            <w:hideMark/>
          </w:tcPr>
          <w:p w14:paraId="795D4C28" w14:textId="77777777" w:rsidR="00FD2313" w:rsidRPr="00160081" w:rsidRDefault="00822B90" w:rsidP="00822B90">
            <w:pPr>
              <w:spacing w:after="0" w:line="240" w:lineRule="auto"/>
              <w:jc w:val="center"/>
              <w:rPr>
                <w:rFonts w:eastAsia="Times New Roman" w:cstheme="minorHAnsi"/>
                <w:b/>
                <w:bCs/>
                <w:color w:val="FFFFFF"/>
                <w:sz w:val="20"/>
                <w:szCs w:val="20"/>
                <w:lang w:val="es-ES" w:eastAsia="es-EC"/>
              </w:rPr>
            </w:pPr>
            <w:r w:rsidRPr="00822B90">
              <w:rPr>
                <w:rFonts w:eastAsia="Times New Roman" w:cstheme="minorHAnsi"/>
                <w:b/>
                <w:bCs/>
                <w:color w:val="FFFFFF"/>
                <w:sz w:val="20"/>
                <w:szCs w:val="20"/>
                <w:lang w:val="es-ES" w:eastAsia="es-EC"/>
              </w:rPr>
              <w:t xml:space="preserve">Precio </w:t>
            </w:r>
          </w:p>
          <w:p w14:paraId="1F628F9A" w14:textId="77777777" w:rsidR="00FD2313" w:rsidRPr="00160081" w:rsidRDefault="00822B90" w:rsidP="00822B90">
            <w:pPr>
              <w:spacing w:after="0" w:line="240" w:lineRule="auto"/>
              <w:jc w:val="center"/>
              <w:rPr>
                <w:rFonts w:eastAsia="Times New Roman" w:cstheme="minorHAnsi"/>
                <w:b/>
                <w:bCs/>
                <w:color w:val="FFFFFF"/>
                <w:sz w:val="20"/>
                <w:szCs w:val="20"/>
                <w:lang w:val="es-ES" w:eastAsia="es-EC"/>
              </w:rPr>
            </w:pPr>
            <w:r w:rsidRPr="00822B90">
              <w:rPr>
                <w:rFonts w:eastAsia="Times New Roman" w:cstheme="minorHAnsi"/>
                <w:b/>
                <w:bCs/>
                <w:color w:val="FFFFFF"/>
                <w:sz w:val="20"/>
                <w:szCs w:val="20"/>
                <w:lang w:val="es-ES" w:eastAsia="es-EC"/>
              </w:rPr>
              <w:t xml:space="preserve">unitario </w:t>
            </w:r>
          </w:p>
          <w:p w14:paraId="648FE6AF" w14:textId="0B3F8874"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(USD)</w:t>
            </w:r>
          </w:p>
        </w:tc>
        <w:tc>
          <w:tcPr>
            <w:tcW w:w="358" w:type="pct"/>
            <w:gridSpan w:val="2"/>
            <w:shd w:val="clear" w:color="000000" w:fill="336699"/>
            <w:vAlign w:val="center"/>
            <w:hideMark/>
          </w:tcPr>
          <w:p w14:paraId="7F91BCD5" w14:textId="77777777"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Precio Total (USD)</w:t>
            </w:r>
          </w:p>
        </w:tc>
        <w:tc>
          <w:tcPr>
            <w:tcW w:w="731" w:type="pct"/>
            <w:gridSpan w:val="2"/>
            <w:shd w:val="clear" w:color="000000" w:fill="336699"/>
            <w:vAlign w:val="center"/>
            <w:hideMark/>
          </w:tcPr>
          <w:p w14:paraId="150641D9" w14:textId="5AD7C770" w:rsidR="00822B90" w:rsidRPr="00822B90" w:rsidRDefault="00822B90" w:rsidP="00822B90">
            <w:pPr>
              <w:spacing w:after="0" w:line="240" w:lineRule="auto"/>
              <w:jc w:val="center"/>
              <w:rPr>
                <w:rFonts w:eastAsia="Times New Roman" w:cstheme="minorHAnsi"/>
                <w:b/>
                <w:bCs/>
                <w:color w:val="FFFFFF"/>
                <w:sz w:val="20"/>
                <w:szCs w:val="20"/>
                <w:lang w:eastAsia="es-EC"/>
              </w:rPr>
            </w:pPr>
            <w:r w:rsidRPr="00822B90">
              <w:rPr>
                <w:rFonts w:eastAsia="Times New Roman" w:cstheme="minorHAnsi"/>
                <w:b/>
                <w:bCs/>
                <w:color w:val="FFFFFF"/>
                <w:sz w:val="20"/>
                <w:szCs w:val="20"/>
                <w:lang w:val="es-ES" w:eastAsia="es-EC"/>
              </w:rPr>
              <w:t xml:space="preserve">Explicación detallada de los costos de los puntos del </w:t>
            </w:r>
            <w:r w:rsidR="00620319" w:rsidRPr="00160081">
              <w:rPr>
                <w:rFonts w:eastAsia="Times New Roman" w:cstheme="minorHAnsi"/>
                <w:b/>
                <w:bCs/>
                <w:color w:val="FFFFFF"/>
                <w:sz w:val="20"/>
                <w:szCs w:val="20"/>
                <w:lang w:val="es-ES" w:eastAsia="es-EC"/>
              </w:rPr>
              <w:t>segundo</w:t>
            </w:r>
            <w:r w:rsidRPr="00822B90">
              <w:rPr>
                <w:rFonts w:eastAsia="Times New Roman" w:cstheme="minorHAnsi"/>
                <w:b/>
                <w:bCs/>
                <w:color w:val="FFFFFF"/>
                <w:sz w:val="20"/>
                <w:szCs w:val="20"/>
                <w:lang w:val="es-ES" w:eastAsia="es-EC"/>
              </w:rPr>
              <w:t xml:space="preserve"> pago</w:t>
            </w:r>
          </w:p>
        </w:tc>
      </w:tr>
      <w:tr w:rsidR="00CA02A6" w:rsidRPr="00160081" w14:paraId="60E527CA" w14:textId="77777777" w:rsidTr="00CA02A6">
        <w:trPr>
          <w:gridAfter w:val="1"/>
          <w:wAfter w:w="3" w:type="pct"/>
          <w:trHeight w:val="300"/>
        </w:trPr>
        <w:tc>
          <w:tcPr>
            <w:tcW w:w="397" w:type="pct"/>
            <w:noWrap/>
            <w:vAlign w:val="center"/>
            <w:hideMark/>
          </w:tcPr>
          <w:p w14:paraId="5398DCE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Primer pago</w:t>
            </w:r>
          </w:p>
        </w:tc>
        <w:tc>
          <w:tcPr>
            <w:tcW w:w="203" w:type="pct"/>
            <w:gridSpan w:val="2"/>
            <w:noWrap/>
            <w:vAlign w:val="center"/>
            <w:hideMark/>
          </w:tcPr>
          <w:p w14:paraId="2A5EA54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818" w:type="pct"/>
            <w:vAlign w:val="center"/>
            <w:hideMark/>
          </w:tcPr>
          <w:p w14:paraId="0BF7E3E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w:t>
            </w:r>
          </w:p>
        </w:tc>
        <w:tc>
          <w:tcPr>
            <w:tcW w:w="1548" w:type="pct"/>
            <w:vAlign w:val="center"/>
            <w:hideMark/>
          </w:tcPr>
          <w:p w14:paraId="3FEEA42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Configuración y Habilitación de la Solución Tecnológica</w:t>
            </w:r>
          </w:p>
        </w:tc>
        <w:tc>
          <w:tcPr>
            <w:tcW w:w="545" w:type="pct"/>
            <w:vAlign w:val="center"/>
            <w:hideMark/>
          </w:tcPr>
          <w:p w14:paraId="411B5AF5"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517D421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4D5D6B6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13EF5D90"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57F55BFF" w14:textId="77777777" w:rsidTr="00CA02A6">
        <w:trPr>
          <w:gridAfter w:val="1"/>
          <w:wAfter w:w="3" w:type="pct"/>
          <w:trHeight w:val="552"/>
        </w:trPr>
        <w:tc>
          <w:tcPr>
            <w:tcW w:w="397" w:type="pct"/>
            <w:vMerge w:val="restart"/>
            <w:noWrap/>
            <w:vAlign w:val="center"/>
            <w:hideMark/>
          </w:tcPr>
          <w:p w14:paraId="52345F5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Segundo pago</w:t>
            </w:r>
          </w:p>
        </w:tc>
        <w:tc>
          <w:tcPr>
            <w:tcW w:w="203" w:type="pct"/>
            <w:gridSpan w:val="2"/>
            <w:noWrap/>
            <w:vAlign w:val="center"/>
            <w:hideMark/>
          </w:tcPr>
          <w:p w14:paraId="3E3AD9E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2</w:t>
            </w:r>
          </w:p>
        </w:tc>
        <w:tc>
          <w:tcPr>
            <w:tcW w:w="818" w:type="pct"/>
            <w:vAlign w:val="center"/>
            <w:hideMark/>
          </w:tcPr>
          <w:p w14:paraId="72C68DC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Licenciamiento / suscripción</w:t>
            </w:r>
          </w:p>
        </w:tc>
        <w:tc>
          <w:tcPr>
            <w:tcW w:w="1548" w:type="pct"/>
            <w:vAlign w:val="center"/>
            <w:hideMark/>
          </w:tcPr>
          <w:p w14:paraId="463A8FE5"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Licenciamiento / suscripción de la solución tecnológica (1)</w:t>
            </w:r>
          </w:p>
        </w:tc>
        <w:tc>
          <w:tcPr>
            <w:tcW w:w="545" w:type="pct"/>
            <w:vAlign w:val="center"/>
            <w:hideMark/>
          </w:tcPr>
          <w:p w14:paraId="4FAF1470"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Definida por el oferente</w:t>
            </w:r>
          </w:p>
        </w:tc>
        <w:tc>
          <w:tcPr>
            <w:tcW w:w="399" w:type="pct"/>
            <w:vAlign w:val="center"/>
            <w:hideMark/>
          </w:tcPr>
          <w:p w14:paraId="0AAFFB23"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1C421727"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2E7EF7CE"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5499E213" w14:textId="77777777" w:rsidTr="00CA02A6">
        <w:trPr>
          <w:gridAfter w:val="1"/>
          <w:wAfter w:w="3" w:type="pct"/>
          <w:trHeight w:val="300"/>
        </w:trPr>
        <w:tc>
          <w:tcPr>
            <w:tcW w:w="397" w:type="pct"/>
            <w:vMerge/>
            <w:vAlign w:val="center"/>
            <w:hideMark/>
          </w:tcPr>
          <w:p w14:paraId="7AD72E62"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2C1B634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3</w:t>
            </w:r>
          </w:p>
        </w:tc>
        <w:tc>
          <w:tcPr>
            <w:tcW w:w="818" w:type="pct"/>
            <w:vAlign w:val="center"/>
            <w:hideMark/>
          </w:tcPr>
          <w:p w14:paraId="31BBA5F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w:t>
            </w:r>
          </w:p>
        </w:tc>
        <w:tc>
          <w:tcPr>
            <w:tcW w:w="1548" w:type="pct"/>
            <w:vAlign w:val="center"/>
            <w:hideMark/>
          </w:tcPr>
          <w:p w14:paraId="06DB6135"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Soporte y Mantenimiento (por año)</w:t>
            </w:r>
          </w:p>
        </w:tc>
        <w:tc>
          <w:tcPr>
            <w:tcW w:w="545" w:type="pct"/>
            <w:vAlign w:val="center"/>
            <w:hideMark/>
          </w:tcPr>
          <w:p w14:paraId="292CEB9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3</w:t>
            </w:r>
          </w:p>
        </w:tc>
        <w:tc>
          <w:tcPr>
            <w:tcW w:w="399" w:type="pct"/>
            <w:vAlign w:val="center"/>
            <w:hideMark/>
          </w:tcPr>
          <w:p w14:paraId="3B580389"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3A8C7144"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38E21705" w14:textId="77777777" w:rsidR="00822B90" w:rsidRPr="00822B90" w:rsidRDefault="00822B90" w:rsidP="00822B90">
            <w:pPr>
              <w:spacing w:after="0" w:line="240" w:lineRule="auto"/>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12D874CF" w14:textId="77777777" w:rsidTr="00CA02A6">
        <w:trPr>
          <w:gridAfter w:val="1"/>
          <w:wAfter w:w="3" w:type="pct"/>
          <w:trHeight w:val="288"/>
        </w:trPr>
        <w:tc>
          <w:tcPr>
            <w:tcW w:w="397" w:type="pct"/>
            <w:vMerge w:val="restart"/>
            <w:noWrap/>
            <w:vAlign w:val="center"/>
            <w:hideMark/>
          </w:tcPr>
          <w:p w14:paraId="2E82C2C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Tercer pago</w:t>
            </w:r>
          </w:p>
        </w:tc>
        <w:tc>
          <w:tcPr>
            <w:tcW w:w="203" w:type="pct"/>
            <w:gridSpan w:val="2"/>
            <w:noWrap/>
            <w:vAlign w:val="center"/>
            <w:hideMark/>
          </w:tcPr>
          <w:p w14:paraId="697717E5"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4</w:t>
            </w:r>
          </w:p>
        </w:tc>
        <w:tc>
          <w:tcPr>
            <w:tcW w:w="818" w:type="pct"/>
            <w:vAlign w:val="center"/>
            <w:hideMark/>
          </w:tcPr>
          <w:p w14:paraId="18DC909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 Conexos</w:t>
            </w:r>
          </w:p>
        </w:tc>
        <w:tc>
          <w:tcPr>
            <w:tcW w:w="1548" w:type="pct"/>
            <w:vAlign w:val="center"/>
            <w:hideMark/>
          </w:tcPr>
          <w:p w14:paraId="60A4005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Metodología de implementación de casos de uso en BPMS</w:t>
            </w:r>
          </w:p>
        </w:tc>
        <w:tc>
          <w:tcPr>
            <w:tcW w:w="545" w:type="pct"/>
            <w:vAlign w:val="center"/>
            <w:hideMark/>
          </w:tcPr>
          <w:p w14:paraId="0EAE03B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44D2465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51E1924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55B4C43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4EEED222" w14:textId="77777777" w:rsidTr="00CA02A6">
        <w:trPr>
          <w:gridAfter w:val="1"/>
          <w:wAfter w:w="3" w:type="pct"/>
          <w:trHeight w:val="288"/>
        </w:trPr>
        <w:tc>
          <w:tcPr>
            <w:tcW w:w="397" w:type="pct"/>
            <w:vMerge/>
            <w:vAlign w:val="center"/>
            <w:hideMark/>
          </w:tcPr>
          <w:p w14:paraId="1505E239"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1DC460F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5</w:t>
            </w:r>
          </w:p>
        </w:tc>
        <w:tc>
          <w:tcPr>
            <w:tcW w:w="818" w:type="pct"/>
            <w:vAlign w:val="center"/>
            <w:hideMark/>
          </w:tcPr>
          <w:p w14:paraId="11C8259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 Conexos</w:t>
            </w:r>
          </w:p>
        </w:tc>
        <w:tc>
          <w:tcPr>
            <w:tcW w:w="1548" w:type="pct"/>
            <w:vAlign w:val="center"/>
            <w:hideMark/>
          </w:tcPr>
          <w:p w14:paraId="4657E1F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Transferencia de conocimientos especializado</w:t>
            </w:r>
          </w:p>
        </w:tc>
        <w:tc>
          <w:tcPr>
            <w:tcW w:w="545" w:type="pct"/>
            <w:vAlign w:val="center"/>
            <w:hideMark/>
          </w:tcPr>
          <w:p w14:paraId="3485543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79FDA43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1292B093"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208CA6F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12B2DFCE" w14:textId="77777777" w:rsidTr="00CA02A6">
        <w:trPr>
          <w:gridAfter w:val="1"/>
          <w:wAfter w:w="3" w:type="pct"/>
          <w:trHeight w:val="300"/>
        </w:trPr>
        <w:tc>
          <w:tcPr>
            <w:tcW w:w="397" w:type="pct"/>
            <w:vMerge/>
            <w:vAlign w:val="center"/>
            <w:hideMark/>
          </w:tcPr>
          <w:p w14:paraId="3B005238"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165F0F7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6</w:t>
            </w:r>
          </w:p>
        </w:tc>
        <w:tc>
          <w:tcPr>
            <w:tcW w:w="818" w:type="pct"/>
            <w:vAlign w:val="center"/>
            <w:hideMark/>
          </w:tcPr>
          <w:p w14:paraId="57E09833"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 Conexos</w:t>
            </w:r>
          </w:p>
        </w:tc>
        <w:tc>
          <w:tcPr>
            <w:tcW w:w="1548" w:type="pct"/>
            <w:vAlign w:val="center"/>
            <w:hideMark/>
          </w:tcPr>
          <w:p w14:paraId="5E3BCC2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Modelo de integración y gobernanza de la solución tecnológica</w:t>
            </w:r>
          </w:p>
        </w:tc>
        <w:tc>
          <w:tcPr>
            <w:tcW w:w="545" w:type="pct"/>
            <w:vAlign w:val="center"/>
            <w:hideMark/>
          </w:tcPr>
          <w:p w14:paraId="37148030"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288680D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4B0A667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6908D3D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1FC5A976" w14:textId="77777777" w:rsidTr="00CA02A6">
        <w:trPr>
          <w:gridAfter w:val="1"/>
          <w:wAfter w:w="3" w:type="pct"/>
          <w:trHeight w:val="552"/>
        </w:trPr>
        <w:tc>
          <w:tcPr>
            <w:tcW w:w="397" w:type="pct"/>
            <w:vMerge w:val="restart"/>
            <w:noWrap/>
            <w:vAlign w:val="center"/>
            <w:hideMark/>
          </w:tcPr>
          <w:p w14:paraId="7340A45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Cuarto pago</w:t>
            </w:r>
          </w:p>
        </w:tc>
        <w:tc>
          <w:tcPr>
            <w:tcW w:w="203" w:type="pct"/>
            <w:gridSpan w:val="2"/>
            <w:noWrap/>
            <w:vAlign w:val="center"/>
            <w:hideMark/>
          </w:tcPr>
          <w:p w14:paraId="11EEB5B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7</w:t>
            </w:r>
          </w:p>
        </w:tc>
        <w:tc>
          <w:tcPr>
            <w:tcW w:w="818" w:type="pct"/>
            <w:vAlign w:val="center"/>
            <w:hideMark/>
          </w:tcPr>
          <w:p w14:paraId="0DBEFCC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 de Implementación</w:t>
            </w:r>
          </w:p>
        </w:tc>
        <w:tc>
          <w:tcPr>
            <w:tcW w:w="1548" w:type="pct"/>
            <w:vAlign w:val="center"/>
            <w:hideMark/>
          </w:tcPr>
          <w:p w14:paraId="72F47EC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Caso 1: Gestión de Obligaciones - Impuesto a la Renta (IR) (2)</w:t>
            </w:r>
          </w:p>
        </w:tc>
        <w:tc>
          <w:tcPr>
            <w:tcW w:w="545" w:type="pct"/>
            <w:vAlign w:val="center"/>
            <w:hideMark/>
          </w:tcPr>
          <w:p w14:paraId="28B0E81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25C3C88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62F1335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5A4B8F4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3AA7E56A" w14:textId="77777777" w:rsidTr="00CA02A6">
        <w:trPr>
          <w:gridAfter w:val="1"/>
          <w:wAfter w:w="3" w:type="pct"/>
          <w:trHeight w:val="552"/>
        </w:trPr>
        <w:tc>
          <w:tcPr>
            <w:tcW w:w="397" w:type="pct"/>
            <w:vMerge/>
            <w:vAlign w:val="center"/>
            <w:hideMark/>
          </w:tcPr>
          <w:p w14:paraId="7D02CC96"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6F6F839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8</w:t>
            </w:r>
          </w:p>
        </w:tc>
        <w:tc>
          <w:tcPr>
            <w:tcW w:w="818" w:type="pct"/>
            <w:vAlign w:val="center"/>
            <w:hideMark/>
          </w:tcPr>
          <w:p w14:paraId="2417FD5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 de Implementación</w:t>
            </w:r>
          </w:p>
        </w:tc>
        <w:tc>
          <w:tcPr>
            <w:tcW w:w="1548" w:type="pct"/>
            <w:vAlign w:val="center"/>
            <w:hideMark/>
          </w:tcPr>
          <w:p w14:paraId="475DCE9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Caso 2: Gestión de Obligaciones - Impuesto al Valor Agregado (IVA) (2)</w:t>
            </w:r>
          </w:p>
        </w:tc>
        <w:tc>
          <w:tcPr>
            <w:tcW w:w="545" w:type="pct"/>
            <w:vAlign w:val="center"/>
            <w:hideMark/>
          </w:tcPr>
          <w:p w14:paraId="74CB393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1</w:t>
            </w:r>
          </w:p>
        </w:tc>
        <w:tc>
          <w:tcPr>
            <w:tcW w:w="399" w:type="pct"/>
            <w:vAlign w:val="center"/>
            <w:hideMark/>
          </w:tcPr>
          <w:p w14:paraId="335FD6D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vAlign w:val="center"/>
            <w:hideMark/>
          </w:tcPr>
          <w:p w14:paraId="7EC0DAE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noWrap/>
            <w:vAlign w:val="center"/>
            <w:hideMark/>
          </w:tcPr>
          <w:p w14:paraId="479BAF7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5149EDC0" w14:textId="77777777" w:rsidTr="00CA02A6">
        <w:trPr>
          <w:gridAfter w:val="1"/>
          <w:wAfter w:w="3" w:type="pct"/>
          <w:trHeight w:val="552"/>
        </w:trPr>
        <w:tc>
          <w:tcPr>
            <w:tcW w:w="397" w:type="pct"/>
            <w:vMerge/>
            <w:vAlign w:val="center"/>
            <w:hideMark/>
          </w:tcPr>
          <w:p w14:paraId="5618E448"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13FA70A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9</w:t>
            </w:r>
          </w:p>
        </w:tc>
        <w:tc>
          <w:tcPr>
            <w:tcW w:w="818" w:type="pct"/>
            <w:vAlign w:val="center"/>
            <w:hideMark/>
          </w:tcPr>
          <w:p w14:paraId="09C08FF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3B607DCE" w14:textId="160838A1"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3: Gestión de Riesgos Tributarios - IR (2)</w:t>
            </w:r>
          </w:p>
        </w:tc>
        <w:tc>
          <w:tcPr>
            <w:tcW w:w="545" w:type="pct"/>
            <w:vAlign w:val="center"/>
            <w:hideMark/>
          </w:tcPr>
          <w:p w14:paraId="7FC717B5"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13E56CB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6388B35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0E5440E3"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02C9DCB3" w14:textId="77777777" w:rsidTr="00CA02A6">
        <w:trPr>
          <w:gridAfter w:val="1"/>
          <w:wAfter w:w="3" w:type="pct"/>
          <w:trHeight w:val="552"/>
        </w:trPr>
        <w:tc>
          <w:tcPr>
            <w:tcW w:w="397" w:type="pct"/>
            <w:vMerge/>
            <w:vAlign w:val="center"/>
            <w:hideMark/>
          </w:tcPr>
          <w:p w14:paraId="1C32BBD0"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615BE4F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10</w:t>
            </w:r>
          </w:p>
        </w:tc>
        <w:tc>
          <w:tcPr>
            <w:tcW w:w="818" w:type="pct"/>
            <w:vAlign w:val="center"/>
            <w:hideMark/>
          </w:tcPr>
          <w:p w14:paraId="1D6BBFB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49A74745" w14:textId="1AE023EF"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4: Sistema de Gestión de Riesgos Tributarios - IVA (2)</w:t>
            </w:r>
          </w:p>
        </w:tc>
        <w:tc>
          <w:tcPr>
            <w:tcW w:w="545" w:type="pct"/>
            <w:vAlign w:val="center"/>
            <w:hideMark/>
          </w:tcPr>
          <w:p w14:paraId="3165EFD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2EAEF9C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09B105A3"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6731F67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75A18948" w14:textId="77777777" w:rsidTr="00CA02A6">
        <w:trPr>
          <w:gridAfter w:val="1"/>
          <w:wAfter w:w="3" w:type="pct"/>
          <w:trHeight w:val="552"/>
        </w:trPr>
        <w:tc>
          <w:tcPr>
            <w:tcW w:w="397" w:type="pct"/>
            <w:vMerge/>
            <w:vAlign w:val="center"/>
            <w:hideMark/>
          </w:tcPr>
          <w:p w14:paraId="152476DA"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32F0490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11</w:t>
            </w:r>
          </w:p>
        </w:tc>
        <w:tc>
          <w:tcPr>
            <w:tcW w:w="818" w:type="pct"/>
            <w:vAlign w:val="center"/>
            <w:hideMark/>
          </w:tcPr>
          <w:p w14:paraId="472EC5D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6867E42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5: Gestión de Sanciones (2)</w:t>
            </w:r>
          </w:p>
        </w:tc>
        <w:tc>
          <w:tcPr>
            <w:tcW w:w="545" w:type="pct"/>
            <w:vAlign w:val="center"/>
            <w:hideMark/>
          </w:tcPr>
          <w:p w14:paraId="74A978D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248E094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7805D62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12F5AAA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4FB45043" w14:textId="77777777" w:rsidTr="00CA02A6">
        <w:trPr>
          <w:gridAfter w:val="1"/>
          <w:wAfter w:w="3" w:type="pct"/>
          <w:trHeight w:val="552"/>
        </w:trPr>
        <w:tc>
          <w:tcPr>
            <w:tcW w:w="397" w:type="pct"/>
            <w:vMerge/>
            <w:vAlign w:val="center"/>
            <w:hideMark/>
          </w:tcPr>
          <w:p w14:paraId="511C9893"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51161E5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12</w:t>
            </w:r>
          </w:p>
        </w:tc>
        <w:tc>
          <w:tcPr>
            <w:tcW w:w="818" w:type="pct"/>
            <w:vAlign w:val="center"/>
            <w:hideMark/>
          </w:tcPr>
          <w:p w14:paraId="5896A86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26C7451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6: Control de Veracidad (2)</w:t>
            </w:r>
          </w:p>
        </w:tc>
        <w:tc>
          <w:tcPr>
            <w:tcW w:w="545" w:type="pct"/>
            <w:vAlign w:val="center"/>
            <w:hideMark/>
          </w:tcPr>
          <w:p w14:paraId="45B3779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11001169"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4AA8A10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4236E9C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6B50B0EB" w14:textId="77777777" w:rsidTr="00CA02A6">
        <w:trPr>
          <w:gridAfter w:val="1"/>
          <w:wAfter w:w="3" w:type="pct"/>
          <w:trHeight w:val="552"/>
        </w:trPr>
        <w:tc>
          <w:tcPr>
            <w:tcW w:w="397" w:type="pct"/>
            <w:vMerge/>
            <w:vAlign w:val="center"/>
            <w:hideMark/>
          </w:tcPr>
          <w:p w14:paraId="5377FEAB"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3D71C84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13</w:t>
            </w:r>
          </w:p>
        </w:tc>
        <w:tc>
          <w:tcPr>
            <w:tcW w:w="818" w:type="pct"/>
            <w:vAlign w:val="center"/>
            <w:hideMark/>
          </w:tcPr>
          <w:p w14:paraId="511D23A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65EECCE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7: Gestión de Trámites (2)</w:t>
            </w:r>
          </w:p>
        </w:tc>
        <w:tc>
          <w:tcPr>
            <w:tcW w:w="545" w:type="pct"/>
            <w:vAlign w:val="center"/>
            <w:hideMark/>
          </w:tcPr>
          <w:p w14:paraId="1536F1E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77EB627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1C2E565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38B3F87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4542BD25" w14:textId="77777777" w:rsidTr="00CA02A6">
        <w:trPr>
          <w:gridAfter w:val="1"/>
          <w:wAfter w:w="3" w:type="pct"/>
          <w:trHeight w:val="552"/>
        </w:trPr>
        <w:tc>
          <w:tcPr>
            <w:tcW w:w="397" w:type="pct"/>
            <w:vMerge/>
            <w:vAlign w:val="center"/>
            <w:hideMark/>
          </w:tcPr>
          <w:p w14:paraId="11A01B97"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noWrap/>
            <w:vAlign w:val="center"/>
            <w:hideMark/>
          </w:tcPr>
          <w:p w14:paraId="464F18D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14</w:t>
            </w:r>
          </w:p>
        </w:tc>
        <w:tc>
          <w:tcPr>
            <w:tcW w:w="818" w:type="pct"/>
            <w:vAlign w:val="center"/>
            <w:hideMark/>
          </w:tcPr>
          <w:p w14:paraId="6378D7A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vAlign w:val="center"/>
            <w:hideMark/>
          </w:tcPr>
          <w:p w14:paraId="2DF622E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8: Gestión de Archivo (2)</w:t>
            </w:r>
          </w:p>
        </w:tc>
        <w:tc>
          <w:tcPr>
            <w:tcW w:w="545" w:type="pct"/>
            <w:vAlign w:val="center"/>
            <w:hideMark/>
          </w:tcPr>
          <w:p w14:paraId="56A677D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vAlign w:val="center"/>
            <w:hideMark/>
          </w:tcPr>
          <w:p w14:paraId="4B51926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vAlign w:val="center"/>
            <w:hideMark/>
          </w:tcPr>
          <w:p w14:paraId="136B7FCC"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noWrap/>
            <w:vAlign w:val="center"/>
            <w:hideMark/>
          </w:tcPr>
          <w:p w14:paraId="1E1275ED"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43ACB448" w14:textId="77777777" w:rsidTr="00CA02A6">
        <w:trPr>
          <w:gridAfter w:val="1"/>
          <w:wAfter w:w="3" w:type="pct"/>
          <w:trHeight w:val="564"/>
        </w:trPr>
        <w:tc>
          <w:tcPr>
            <w:tcW w:w="397" w:type="pct"/>
            <w:vMerge/>
            <w:tcBorders>
              <w:bottom w:val="single" w:sz="4" w:space="0" w:color="auto"/>
            </w:tcBorders>
            <w:vAlign w:val="center"/>
            <w:hideMark/>
          </w:tcPr>
          <w:p w14:paraId="2C5F0930" w14:textId="77777777" w:rsidR="00822B90" w:rsidRPr="00822B90" w:rsidRDefault="00822B90" w:rsidP="00822B90">
            <w:pPr>
              <w:spacing w:after="0" w:line="240" w:lineRule="auto"/>
              <w:rPr>
                <w:rFonts w:eastAsia="Times New Roman" w:cstheme="minorHAnsi"/>
                <w:color w:val="000000"/>
                <w:sz w:val="20"/>
                <w:szCs w:val="20"/>
                <w:lang w:eastAsia="es-EC"/>
              </w:rPr>
            </w:pPr>
          </w:p>
        </w:tc>
        <w:tc>
          <w:tcPr>
            <w:tcW w:w="203" w:type="pct"/>
            <w:gridSpan w:val="2"/>
            <w:tcBorders>
              <w:bottom w:val="single" w:sz="4" w:space="0" w:color="auto"/>
            </w:tcBorders>
            <w:noWrap/>
            <w:vAlign w:val="center"/>
            <w:hideMark/>
          </w:tcPr>
          <w:p w14:paraId="54F03A9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15</w:t>
            </w:r>
          </w:p>
        </w:tc>
        <w:tc>
          <w:tcPr>
            <w:tcW w:w="818" w:type="pct"/>
            <w:tcBorders>
              <w:bottom w:val="single" w:sz="4" w:space="0" w:color="auto"/>
            </w:tcBorders>
            <w:vAlign w:val="center"/>
            <w:hideMark/>
          </w:tcPr>
          <w:p w14:paraId="1F05CAD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Servicio de Implementación</w:t>
            </w:r>
          </w:p>
        </w:tc>
        <w:tc>
          <w:tcPr>
            <w:tcW w:w="1548" w:type="pct"/>
            <w:tcBorders>
              <w:bottom w:val="single" w:sz="4" w:space="0" w:color="auto"/>
            </w:tcBorders>
            <w:vAlign w:val="center"/>
            <w:hideMark/>
          </w:tcPr>
          <w:p w14:paraId="3C437538"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Caso 9: Expediente Integral del Contribuyente (2)</w:t>
            </w:r>
          </w:p>
        </w:tc>
        <w:tc>
          <w:tcPr>
            <w:tcW w:w="545" w:type="pct"/>
            <w:tcBorders>
              <w:bottom w:val="single" w:sz="4" w:space="0" w:color="auto"/>
            </w:tcBorders>
            <w:vAlign w:val="center"/>
            <w:hideMark/>
          </w:tcPr>
          <w:p w14:paraId="02F4BA6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w:t>
            </w:r>
          </w:p>
        </w:tc>
        <w:tc>
          <w:tcPr>
            <w:tcW w:w="399" w:type="pct"/>
            <w:tcBorders>
              <w:bottom w:val="single" w:sz="4" w:space="0" w:color="auto"/>
            </w:tcBorders>
            <w:vAlign w:val="center"/>
            <w:hideMark/>
          </w:tcPr>
          <w:p w14:paraId="019F4807"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358" w:type="pct"/>
            <w:gridSpan w:val="2"/>
            <w:tcBorders>
              <w:bottom w:val="single" w:sz="4" w:space="0" w:color="auto"/>
            </w:tcBorders>
            <w:vAlign w:val="center"/>
            <w:hideMark/>
          </w:tcPr>
          <w:p w14:paraId="569AE2C6"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c>
          <w:tcPr>
            <w:tcW w:w="731" w:type="pct"/>
            <w:gridSpan w:val="2"/>
            <w:tcBorders>
              <w:bottom w:val="single" w:sz="4" w:space="0" w:color="auto"/>
            </w:tcBorders>
            <w:noWrap/>
            <w:vAlign w:val="center"/>
            <w:hideMark/>
          </w:tcPr>
          <w:p w14:paraId="0EFAB98B"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 </w:t>
            </w:r>
          </w:p>
        </w:tc>
      </w:tr>
      <w:tr w:rsidR="00CA02A6" w:rsidRPr="00160081" w14:paraId="5484CB1C" w14:textId="77777777" w:rsidTr="00CA02A6">
        <w:trPr>
          <w:gridAfter w:val="1"/>
          <w:wAfter w:w="3" w:type="pct"/>
          <w:trHeight w:val="840"/>
        </w:trPr>
        <w:tc>
          <w:tcPr>
            <w:tcW w:w="397" w:type="pct"/>
            <w:tcBorders>
              <w:bottom w:val="single" w:sz="4" w:space="0" w:color="auto"/>
            </w:tcBorders>
            <w:noWrap/>
            <w:vAlign w:val="center"/>
            <w:hideMark/>
          </w:tcPr>
          <w:p w14:paraId="538CFD2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Quinto pago</w:t>
            </w:r>
          </w:p>
        </w:tc>
        <w:tc>
          <w:tcPr>
            <w:tcW w:w="203" w:type="pct"/>
            <w:gridSpan w:val="2"/>
            <w:tcBorders>
              <w:bottom w:val="single" w:sz="4" w:space="0" w:color="auto"/>
            </w:tcBorders>
            <w:noWrap/>
            <w:vAlign w:val="center"/>
            <w:hideMark/>
          </w:tcPr>
          <w:p w14:paraId="62D7C60F"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eastAsia="es-EC"/>
              </w:rPr>
              <w:t>16</w:t>
            </w:r>
          </w:p>
        </w:tc>
        <w:tc>
          <w:tcPr>
            <w:tcW w:w="818" w:type="pct"/>
            <w:tcBorders>
              <w:bottom w:val="single" w:sz="4" w:space="0" w:color="auto"/>
            </w:tcBorders>
            <w:vAlign w:val="center"/>
            <w:hideMark/>
          </w:tcPr>
          <w:p w14:paraId="0AD61CF2"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Servicios</w:t>
            </w:r>
          </w:p>
        </w:tc>
        <w:tc>
          <w:tcPr>
            <w:tcW w:w="1548" w:type="pct"/>
            <w:tcBorders>
              <w:bottom w:val="single" w:sz="4" w:space="0" w:color="auto"/>
            </w:tcBorders>
            <w:vAlign w:val="center"/>
            <w:hideMark/>
          </w:tcPr>
          <w:p w14:paraId="53212E2E"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Ordenes de Trabajo</w:t>
            </w:r>
          </w:p>
        </w:tc>
        <w:tc>
          <w:tcPr>
            <w:tcW w:w="545" w:type="pct"/>
            <w:tcBorders>
              <w:bottom w:val="single" w:sz="4" w:space="0" w:color="auto"/>
            </w:tcBorders>
            <w:vAlign w:val="center"/>
            <w:hideMark/>
          </w:tcPr>
          <w:p w14:paraId="3AF5726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xml:space="preserve">Bajo demanda (Definida por el oferente)  </w:t>
            </w:r>
          </w:p>
        </w:tc>
        <w:tc>
          <w:tcPr>
            <w:tcW w:w="399" w:type="pct"/>
            <w:tcBorders>
              <w:bottom w:val="single" w:sz="4" w:space="0" w:color="auto"/>
            </w:tcBorders>
            <w:vAlign w:val="center"/>
            <w:hideMark/>
          </w:tcPr>
          <w:p w14:paraId="7531BAA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358" w:type="pct"/>
            <w:gridSpan w:val="2"/>
            <w:tcBorders>
              <w:bottom w:val="single" w:sz="4" w:space="0" w:color="auto"/>
            </w:tcBorders>
            <w:vAlign w:val="center"/>
            <w:hideMark/>
          </w:tcPr>
          <w:p w14:paraId="0FD229C1"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c>
          <w:tcPr>
            <w:tcW w:w="731" w:type="pct"/>
            <w:gridSpan w:val="2"/>
            <w:tcBorders>
              <w:bottom w:val="single" w:sz="4" w:space="0" w:color="auto"/>
            </w:tcBorders>
            <w:noWrap/>
            <w:vAlign w:val="center"/>
            <w:hideMark/>
          </w:tcPr>
          <w:p w14:paraId="0C98947A"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 </w:t>
            </w:r>
          </w:p>
        </w:tc>
      </w:tr>
      <w:tr w:rsidR="00CA02A6" w:rsidRPr="00160081" w14:paraId="7614CBBC" w14:textId="77777777" w:rsidTr="00CA02A6">
        <w:trPr>
          <w:gridAfter w:val="1"/>
          <w:wAfter w:w="3" w:type="pct"/>
          <w:trHeight w:val="300"/>
        </w:trPr>
        <w:tc>
          <w:tcPr>
            <w:tcW w:w="397" w:type="pct"/>
            <w:tcBorders>
              <w:top w:val="single" w:sz="4" w:space="0" w:color="auto"/>
              <w:left w:val="nil"/>
              <w:bottom w:val="nil"/>
              <w:right w:val="single" w:sz="4" w:space="0" w:color="auto"/>
            </w:tcBorders>
            <w:noWrap/>
            <w:vAlign w:val="center"/>
            <w:hideMark/>
          </w:tcPr>
          <w:p w14:paraId="0570D342" w14:textId="77777777" w:rsidR="00822B90" w:rsidRPr="00822B90" w:rsidRDefault="00822B90" w:rsidP="00822B90">
            <w:pPr>
              <w:spacing w:after="0" w:line="240" w:lineRule="auto"/>
              <w:jc w:val="center"/>
              <w:rPr>
                <w:rFonts w:eastAsia="Times New Roman" w:cstheme="minorHAnsi"/>
                <w:color w:val="000000"/>
                <w:sz w:val="20"/>
                <w:szCs w:val="20"/>
                <w:lang w:eastAsia="es-EC"/>
              </w:rPr>
            </w:pPr>
          </w:p>
        </w:tc>
        <w:tc>
          <w:tcPr>
            <w:tcW w:w="3516" w:type="pct"/>
            <w:gridSpan w:val="7"/>
            <w:tcBorders>
              <w:top w:val="single" w:sz="4" w:space="0" w:color="auto"/>
              <w:left w:val="single" w:sz="4" w:space="0" w:color="auto"/>
              <w:bottom w:val="single" w:sz="4" w:space="0" w:color="auto"/>
              <w:right w:val="single" w:sz="4" w:space="0" w:color="auto"/>
            </w:tcBorders>
            <w:noWrap/>
            <w:vAlign w:val="center"/>
            <w:hideMark/>
          </w:tcPr>
          <w:p w14:paraId="54653589" w14:textId="77777777" w:rsidR="00822B90" w:rsidRPr="00822B90" w:rsidRDefault="00822B90" w:rsidP="00822B90">
            <w:pPr>
              <w:spacing w:after="0" w:line="240" w:lineRule="auto"/>
              <w:jc w:val="center"/>
              <w:rPr>
                <w:rFonts w:eastAsia="Times New Roman" w:cstheme="minorHAnsi"/>
                <w:b/>
                <w:bCs/>
                <w:color w:val="000000"/>
                <w:sz w:val="20"/>
                <w:szCs w:val="20"/>
                <w:lang w:eastAsia="es-EC"/>
              </w:rPr>
            </w:pPr>
            <w:r w:rsidRPr="00822B90">
              <w:rPr>
                <w:rFonts w:eastAsia="Times New Roman" w:cstheme="minorHAnsi"/>
                <w:b/>
                <w:bCs/>
                <w:color w:val="000000"/>
                <w:sz w:val="20"/>
                <w:szCs w:val="20"/>
                <w:lang w:val="es-ES" w:eastAsia="es-EC"/>
              </w:rPr>
              <w:t>Subtotal</w:t>
            </w:r>
          </w:p>
        </w:tc>
        <w:tc>
          <w:tcPr>
            <w:tcW w:w="358" w:type="pct"/>
            <w:gridSpan w:val="2"/>
            <w:tcBorders>
              <w:top w:val="single" w:sz="4" w:space="0" w:color="auto"/>
              <w:left w:val="single" w:sz="4" w:space="0" w:color="auto"/>
              <w:bottom w:val="single" w:sz="4" w:space="0" w:color="auto"/>
              <w:right w:val="single" w:sz="4" w:space="0" w:color="auto"/>
            </w:tcBorders>
            <w:noWrap/>
            <w:vAlign w:val="center"/>
            <w:hideMark/>
          </w:tcPr>
          <w:p w14:paraId="49C3A93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$0,00</w:t>
            </w:r>
          </w:p>
        </w:tc>
        <w:tc>
          <w:tcPr>
            <w:tcW w:w="726" w:type="pct"/>
            <w:tcBorders>
              <w:top w:val="single" w:sz="4" w:space="0" w:color="auto"/>
              <w:left w:val="single" w:sz="4" w:space="0" w:color="auto"/>
              <w:bottom w:val="nil"/>
              <w:right w:val="nil"/>
            </w:tcBorders>
            <w:noWrap/>
            <w:vAlign w:val="center"/>
            <w:hideMark/>
          </w:tcPr>
          <w:p w14:paraId="723F00F6" w14:textId="77777777" w:rsidR="00822B90" w:rsidRPr="00822B90" w:rsidRDefault="00822B90" w:rsidP="00822B90">
            <w:pPr>
              <w:spacing w:after="0" w:line="240" w:lineRule="auto"/>
              <w:jc w:val="center"/>
              <w:rPr>
                <w:rFonts w:eastAsia="Times New Roman" w:cstheme="minorHAnsi"/>
                <w:color w:val="000000"/>
                <w:sz w:val="20"/>
                <w:szCs w:val="20"/>
                <w:lang w:eastAsia="es-EC"/>
              </w:rPr>
            </w:pPr>
          </w:p>
        </w:tc>
      </w:tr>
      <w:tr w:rsidR="00CA02A6" w:rsidRPr="00160081" w14:paraId="677B4101" w14:textId="77777777" w:rsidTr="00CA02A6">
        <w:trPr>
          <w:gridAfter w:val="1"/>
          <w:wAfter w:w="3" w:type="pct"/>
          <w:trHeight w:val="300"/>
        </w:trPr>
        <w:tc>
          <w:tcPr>
            <w:tcW w:w="397" w:type="pct"/>
            <w:tcBorders>
              <w:top w:val="nil"/>
              <w:left w:val="nil"/>
              <w:bottom w:val="nil"/>
              <w:right w:val="single" w:sz="4" w:space="0" w:color="auto"/>
            </w:tcBorders>
            <w:noWrap/>
            <w:vAlign w:val="center"/>
            <w:hideMark/>
          </w:tcPr>
          <w:p w14:paraId="16D8DA91" w14:textId="77777777" w:rsidR="00822B90" w:rsidRPr="00822B90" w:rsidRDefault="00822B90" w:rsidP="00822B90">
            <w:pPr>
              <w:spacing w:after="0" w:line="240" w:lineRule="auto"/>
              <w:rPr>
                <w:rFonts w:eastAsia="Times New Roman" w:cstheme="minorHAnsi"/>
                <w:sz w:val="20"/>
                <w:szCs w:val="20"/>
                <w:lang w:eastAsia="es-EC"/>
              </w:rPr>
            </w:pPr>
          </w:p>
        </w:tc>
        <w:tc>
          <w:tcPr>
            <w:tcW w:w="3516" w:type="pct"/>
            <w:gridSpan w:val="7"/>
            <w:tcBorders>
              <w:top w:val="single" w:sz="4" w:space="0" w:color="auto"/>
              <w:left w:val="single" w:sz="4" w:space="0" w:color="auto"/>
              <w:bottom w:val="single" w:sz="4" w:space="0" w:color="auto"/>
              <w:right w:val="single" w:sz="4" w:space="0" w:color="auto"/>
            </w:tcBorders>
            <w:noWrap/>
            <w:vAlign w:val="center"/>
            <w:hideMark/>
          </w:tcPr>
          <w:p w14:paraId="1845BC7A" w14:textId="77777777" w:rsidR="00822B90" w:rsidRPr="00822B90" w:rsidRDefault="00822B90" w:rsidP="00822B90">
            <w:pPr>
              <w:spacing w:after="0" w:line="240" w:lineRule="auto"/>
              <w:jc w:val="center"/>
              <w:rPr>
                <w:rFonts w:eastAsia="Times New Roman" w:cstheme="minorHAnsi"/>
                <w:b/>
                <w:bCs/>
                <w:color w:val="000000"/>
                <w:sz w:val="20"/>
                <w:szCs w:val="20"/>
                <w:lang w:eastAsia="es-EC"/>
              </w:rPr>
            </w:pPr>
            <w:r w:rsidRPr="00822B90">
              <w:rPr>
                <w:rFonts w:eastAsia="Times New Roman" w:cstheme="minorHAnsi"/>
                <w:b/>
                <w:bCs/>
                <w:color w:val="000000"/>
                <w:sz w:val="20"/>
                <w:szCs w:val="20"/>
                <w:lang w:val="es-ES" w:eastAsia="es-EC"/>
              </w:rPr>
              <w:t>I.V.A (15 %)</w:t>
            </w:r>
          </w:p>
        </w:tc>
        <w:tc>
          <w:tcPr>
            <w:tcW w:w="358" w:type="pct"/>
            <w:gridSpan w:val="2"/>
            <w:tcBorders>
              <w:top w:val="single" w:sz="4" w:space="0" w:color="auto"/>
              <w:left w:val="single" w:sz="4" w:space="0" w:color="auto"/>
              <w:bottom w:val="single" w:sz="4" w:space="0" w:color="auto"/>
              <w:right w:val="single" w:sz="4" w:space="0" w:color="auto"/>
            </w:tcBorders>
            <w:noWrap/>
            <w:vAlign w:val="center"/>
            <w:hideMark/>
          </w:tcPr>
          <w:p w14:paraId="465C58F4" w14:textId="77777777" w:rsidR="00822B90" w:rsidRPr="00822B90" w:rsidRDefault="00822B90" w:rsidP="00822B90">
            <w:pPr>
              <w:spacing w:after="0" w:line="240" w:lineRule="auto"/>
              <w:jc w:val="center"/>
              <w:rPr>
                <w:rFonts w:eastAsia="Times New Roman" w:cstheme="minorHAnsi"/>
                <w:color w:val="000000"/>
                <w:sz w:val="20"/>
                <w:szCs w:val="20"/>
                <w:lang w:eastAsia="es-EC"/>
              </w:rPr>
            </w:pPr>
            <w:r w:rsidRPr="00822B90">
              <w:rPr>
                <w:rFonts w:eastAsia="Times New Roman" w:cstheme="minorHAnsi"/>
                <w:color w:val="000000"/>
                <w:sz w:val="20"/>
                <w:szCs w:val="20"/>
                <w:lang w:val="es-ES" w:eastAsia="es-EC"/>
              </w:rPr>
              <w:t>$0,00</w:t>
            </w:r>
          </w:p>
        </w:tc>
        <w:tc>
          <w:tcPr>
            <w:tcW w:w="726" w:type="pct"/>
            <w:tcBorders>
              <w:top w:val="nil"/>
              <w:left w:val="single" w:sz="4" w:space="0" w:color="auto"/>
              <w:bottom w:val="nil"/>
              <w:right w:val="nil"/>
            </w:tcBorders>
            <w:noWrap/>
            <w:vAlign w:val="center"/>
            <w:hideMark/>
          </w:tcPr>
          <w:p w14:paraId="5FCD712A" w14:textId="77777777" w:rsidR="00822B90" w:rsidRPr="00822B90" w:rsidRDefault="00822B90" w:rsidP="00822B90">
            <w:pPr>
              <w:spacing w:after="0" w:line="240" w:lineRule="auto"/>
              <w:jc w:val="center"/>
              <w:rPr>
                <w:rFonts w:eastAsia="Times New Roman" w:cstheme="minorHAnsi"/>
                <w:color w:val="000000"/>
                <w:sz w:val="20"/>
                <w:szCs w:val="20"/>
                <w:lang w:eastAsia="es-EC"/>
              </w:rPr>
            </w:pPr>
          </w:p>
        </w:tc>
      </w:tr>
      <w:tr w:rsidR="00CA02A6" w:rsidRPr="00160081" w14:paraId="50AFB488" w14:textId="77777777" w:rsidTr="00CA02A6">
        <w:trPr>
          <w:gridAfter w:val="1"/>
          <w:wAfter w:w="3" w:type="pct"/>
          <w:trHeight w:val="300"/>
        </w:trPr>
        <w:tc>
          <w:tcPr>
            <w:tcW w:w="397" w:type="pct"/>
            <w:tcBorders>
              <w:top w:val="nil"/>
              <w:left w:val="nil"/>
              <w:bottom w:val="nil"/>
              <w:right w:val="single" w:sz="4" w:space="0" w:color="auto"/>
            </w:tcBorders>
            <w:noWrap/>
            <w:vAlign w:val="center"/>
            <w:hideMark/>
          </w:tcPr>
          <w:p w14:paraId="7E79C104" w14:textId="77777777" w:rsidR="00822B90" w:rsidRPr="00822B90" w:rsidRDefault="00822B90" w:rsidP="00822B90">
            <w:pPr>
              <w:spacing w:after="0" w:line="240" w:lineRule="auto"/>
              <w:rPr>
                <w:rFonts w:eastAsia="Times New Roman" w:cstheme="minorHAnsi"/>
                <w:sz w:val="20"/>
                <w:szCs w:val="20"/>
                <w:lang w:eastAsia="es-EC"/>
              </w:rPr>
            </w:pPr>
          </w:p>
        </w:tc>
        <w:tc>
          <w:tcPr>
            <w:tcW w:w="3516" w:type="pct"/>
            <w:gridSpan w:val="7"/>
            <w:tcBorders>
              <w:top w:val="single" w:sz="4" w:space="0" w:color="auto"/>
              <w:left w:val="single" w:sz="4" w:space="0" w:color="auto"/>
              <w:bottom w:val="single" w:sz="4" w:space="0" w:color="auto"/>
              <w:right w:val="single" w:sz="4" w:space="0" w:color="auto"/>
            </w:tcBorders>
            <w:noWrap/>
            <w:vAlign w:val="center"/>
            <w:hideMark/>
          </w:tcPr>
          <w:p w14:paraId="1FEEA7BF" w14:textId="77777777" w:rsidR="00822B90" w:rsidRPr="00822B90" w:rsidRDefault="00822B90" w:rsidP="00822B90">
            <w:pPr>
              <w:spacing w:after="0" w:line="240" w:lineRule="auto"/>
              <w:jc w:val="center"/>
              <w:rPr>
                <w:rFonts w:eastAsia="Times New Roman" w:cstheme="minorHAnsi"/>
                <w:b/>
                <w:bCs/>
                <w:color w:val="000000"/>
                <w:sz w:val="20"/>
                <w:szCs w:val="20"/>
                <w:lang w:eastAsia="es-EC"/>
              </w:rPr>
            </w:pPr>
            <w:proofErr w:type="gramStart"/>
            <w:r w:rsidRPr="00822B90">
              <w:rPr>
                <w:rFonts w:eastAsia="Times New Roman" w:cstheme="minorHAnsi"/>
                <w:b/>
                <w:bCs/>
                <w:color w:val="000000"/>
                <w:sz w:val="20"/>
                <w:szCs w:val="20"/>
                <w:lang w:val="es-ES" w:eastAsia="es-EC"/>
              </w:rPr>
              <w:t>Total</w:t>
            </w:r>
            <w:proofErr w:type="gramEnd"/>
            <w:r w:rsidRPr="00822B90">
              <w:rPr>
                <w:rFonts w:eastAsia="Times New Roman" w:cstheme="minorHAnsi"/>
                <w:b/>
                <w:bCs/>
                <w:color w:val="000000"/>
                <w:sz w:val="20"/>
                <w:szCs w:val="20"/>
                <w:lang w:val="es-ES" w:eastAsia="es-EC"/>
              </w:rPr>
              <w:t xml:space="preserve"> servicios:</w:t>
            </w:r>
          </w:p>
        </w:tc>
        <w:tc>
          <w:tcPr>
            <w:tcW w:w="358" w:type="pct"/>
            <w:gridSpan w:val="2"/>
            <w:tcBorders>
              <w:top w:val="single" w:sz="4" w:space="0" w:color="auto"/>
              <w:left w:val="single" w:sz="4" w:space="0" w:color="auto"/>
              <w:bottom w:val="single" w:sz="4" w:space="0" w:color="auto"/>
              <w:right w:val="single" w:sz="4" w:space="0" w:color="auto"/>
            </w:tcBorders>
            <w:noWrap/>
            <w:vAlign w:val="center"/>
            <w:hideMark/>
          </w:tcPr>
          <w:p w14:paraId="21A61671" w14:textId="77777777" w:rsidR="00822B90" w:rsidRPr="00822B90" w:rsidRDefault="00822B90" w:rsidP="00822B90">
            <w:pPr>
              <w:spacing w:after="0" w:line="240" w:lineRule="auto"/>
              <w:jc w:val="center"/>
              <w:rPr>
                <w:rFonts w:eastAsia="Times New Roman" w:cstheme="minorHAnsi"/>
                <w:b/>
                <w:bCs/>
                <w:color w:val="000000"/>
                <w:sz w:val="20"/>
                <w:szCs w:val="20"/>
                <w:lang w:eastAsia="es-EC"/>
              </w:rPr>
            </w:pPr>
            <w:r w:rsidRPr="00822B90">
              <w:rPr>
                <w:rFonts w:eastAsia="Times New Roman" w:cstheme="minorHAnsi"/>
                <w:b/>
                <w:bCs/>
                <w:color w:val="000000"/>
                <w:sz w:val="20"/>
                <w:szCs w:val="20"/>
                <w:lang w:val="es-ES" w:eastAsia="es-EC"/>
              </w:rPr>
              <w:t>$0,00</w:t>
            </w:r>
          </w:p>
        </w:tc>
        <w:tc>
          <w:tcPr>
            <w:tcW w:w="726" w:type="pct"/>
            <w:tcBorders>
              <w:top w:val="nil"/>
              <w:left w:val="single" w:sz="4" w:space="0" w:color="auto"/>
              <w:bottom w:val="nil"/>
              <w:right w:val="nil"/>
            </w:tcBorders>
            <w:noWrap/>
            <w:vAlign w:val="center"/>
            <w:hideMark/>
          </w:tcPr>
          <w:p w14:paraId="7BB7AE89" w14:textId="77777777" w:rsidR="00822B90" w:rsidRPr="00822B90" w:rsidRDefault="00822B90" w:rsidP="00822B90">
            <w:pPr>
              <w:spacing w:after="0" w:line="240" w:lineRule="auto"/>
              <w:jc w:val="center"/>
              <w:rPr>
                <w:rFonts w:eastAsia="Times New Roman" w:cstheme="minorHAnsi"/>
                <w:b/>
                <w:bCs/>
                <w:color w:val="000000"/>
                <w:sz w:val="20"/>
                <w:szCs w:val="20"/>
                <w:lang w:eastAsia="es-EC"/>
              </w:rPr>
            </w:pPr>
          </w:p>
        </w:tc>
      </w:tr>
      <w:tr w:rsidR="007F4EF0" w:rsidRPr="00160081" w14:paraId="1191CB87" w14:textId="77777777" w:rsidTr="00CA02A6">
        <w:trPr>
          <w:gridBefore w:val="2"/>
          <w:wBefore w:w="412" w:type="pct"/>
          <w:trHeight w:val="288"/>
        </w:trPr>
        <w:tc>
          <w:tcPr>
            <w:tcW w:w="4588" w:type="pct"/>
            <w:gridSpan w:val="10"/>
            <w:tcBorders>
              <w:top w:val="nil"/>
              <w:left w:val="nil"/>
              <w:bottom w:val="nil"/>
              <w:right w:val="nil"/>
            </w:tcBorders>
            <w:noWrap/>
            <w:vAlign w:val="bottom"/>
            <w:hideMark/>
          </w:tcPr>
          <w:p w14:paraId="74418B81" w14:textId="77777777" w:rsidR="006D21C2" w:rsidRPr="006D21C2" w:rsidRDefault="006D21C2" w:rsidP="006D21C2">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Notas:</w:t>
            </w:r>
          </w:p>
        </w:tc>
      </w:tr>
      <w:tr w:rsidR="007F4EF0" w:rsidRPr="00160081" w14:paraId="3D3B538F" w14:textId="77777777" w:rsidTr="00CA02A6">
        <w:trPr>
          <w:gridBefore w:val="2"/>
          <w:wBefore w:w="412" w:type="pct"/>
          <w:trHeight w:val="288"/>
        </w:trPr>
        <w:tc>
          <w:tcPr>
            <w:tcW w:w="4588" w:type="pct"/>
            <w:gridSpan w:val="10"/>
            <w:tcBorders>
              <w:top w:val="nil"/>
              <w:left w:val="nil"/>
              <w:bottom w:val="nil"/>
              <w:right w:val="nil"/>
            </w:tcBorders>
            <w:noWrap/>
            <w:vAlign w:val="bottom"/>
            <w:hideMark/>
          </w:tcPr>
          <w:p w14:paraId="520FA7D6" w14:textId="77777777" w:rsidR="007F4EF0" w:rsidRPr="00160081" w:rsidRDefault="006D21C2" w:rsidP="001267DE">
            <w:pPr>
              <w:pStyle w:val="Prrafodelista"/>
              <w:numPr>
                <w:ilvl w:val="0"/>
                <w:numId w:val="45"/>
              </w:numPr>
              <w:spacing w:after="0" w:line="240" w:lineRule="auto"/>
              <w:rPr>
                <w:rFonts w:eastAsia="Times New Roman" w:cstheme="minorHAnsi"/>
                <w:color w:val="000000"/>
                <w:sz w:val="20"/>
                <w:szCs w:val="20"/>
                <w:lang w:eastAsia="es-EC"/>
              </w:rPr>
            </w:pPr>
            <w:r w:rsidRPr="00160081">
              <w:rPr>
                <w:rFonts w:eastAsia="Times New Roman" w:cstheme="minorHAnsi"/>
                <w:color w:val="000000"/>
                <w:sz w:val="20"/>
                <w:szCs w:val="20"/>
                <w:lang w:eastAsia="es-EC"/>
              </w:rPr>
              <w:t xml:space="preserve">Se proporciona </w:t>
            </w:r>
            <w:r w:rsidR="007F4EF0" w:rsidRPr="00160081">
              <w:rPr>
                <w:rFonts w:eastAsia="Times New Roman" w:cstheme="minorHAnsi"/>
                <w:color w:val="000000"/>
                <w:sz w:val="20"/>
                <w:szCs w:val="20"/>
                <w:lang w:eastAsia="es-EC"/>
              </w:rPr>
              <w:t>el archivo denominado “</w:t>
            </w:r>
            <w:bookmarkStart w:id="1" w:name="OLE_LINK60"/>
            <w:r w:rsidR="007F4EF0" w:rsidRPr="00160081">
              <w:rPr>
                <w:rFonts w:eastAsia="Times New Roman" w:cstheme="minorHAnsi"/>
                <w:color w:val="000000"/>
                <w:sz w:val="20"/>
                <w:szCs w:val="20"/>
                <w:lang w:eastAsia="es-EC"/>
              </w:rPr>
              <w:t xml:space="preserve">Tipo de </w:t>
            </w:r>
            <w:proofErr w:type="spellStart"/>
            <w:r w:rsidR="007F4EF0" w:rsidRPr="00160081">
              <w:rPr>
                <w:rFonts w:eastAsia="Times New Roman" w:cstheme="minorHAnsi"/>
                <w:color w:val="000000"/>
                <w:sz w:val="20"/>
                <w:szCs w:val="20"/>
                <w:lang w:eastAsia="es-EC"/>
              </w:rPr>
              <w:t>Usuario_cantidades_dimensionamiento_formatos</w:t>
            </w:r>
            <w:bookmarkEnd w:id="1"/>
            <w:proofErr w:type="spellEnd"/>
            <w:r w:rsidR="007F4EF0" w:rsidRPr="00160081">
              <w:rPr>
                <w:rFonts w:eastAsia="Times New Roman" w:cstheme="minorHAnsi"/>
                <w:color w:val="000000"/>
                <w:sz w:val="20"/>
                <w:szCs w:val="20"/>
                <w:lang w:eastAsia="es-EC"/>
              </w:rPr>
              <w:t xml:space="preserve">” con la </w:t>
            </w:r>
            <w:r w:rsidRPr="00160081">
              <w:rPr>
                <w:rFonts w:eastAsia="Times New Roman" w:cstheme="minorHAnsi"/>
                <w:color w:val="000000"/>
                <w:sz w:val="20"/>
                <w:szCs w:val="20"/>
                <w:lang w:eastAsia="es-EC"/>
              </w:rPr>
              <w:t xml:space="preserve">cantidad y tipo de usuarios necesarios. Adicionalmente, se proporciona </w:t>
            </w:r>
          </w:p>
          <w:p w14:paraId="2139B0AB" w14:textId="6A3017D8" w:rsidR="006D21C2" w:rsidRPr="00160081" w:rsidRDefault="006D21C2" w:rsidP="007F4EF0">
            <w:pPr>
              <w:pStyle w:val="Prrafodelista"/>
              <w:spacing w:after="0" w:line="240" w:lineRule="auto"/>
              <w:ind w:left="360"/>
              <w:rPr>
                <w:rFonts w:eastAsia="Times New Roman" w:cstheme="minorHAnsi"/>
                <w:color w:val="000000"/>
                <w:sz w:val="20"/>
                <w:szCs w:val="20"/>
                <w:lang w:eastAsia="es-EC"/>
              </w:rPr>
            </w:pPr>
            <w:r w:rsidRPr="00160081">
              <w:rPr>
                <w:rFonts w:eastAsia="Times New Roman" w:cstheme="minorHAnsi"/>
                <w:color w:val="000000"/>
                <w:sz w:val="20"/>
                <w:szCs w:val="20"/>
                <w:lang w:eastAsia="es-EC"/>
              </w:rPr>
              <w:t>la matriz de dimensionamiento, por tipo de componente y casos de uso.</w:t>
            </w:r>
          </w:p>
        </w:tc>
      </w:tr>
      <w:tr w:rsidR="007F4EF0" w:rsidRPr="00160081" w14:paraId="5701AFB7" w14:textId="77777777" w:rsidTr="00CA02A6">
        <w:trPr>
          <w:gridBefore w:val="2"/>
          <w:wBefore w:w="412" w:type="pct"/>
          <w:trHeight w:val="288"/>
        </w:trPr>
        <w:tc>
          <w:tcPr>
            <w:tcW w:w="4588" w:type="pct"/>
            <w:gridSpan w:val="10"/>
            <w:tcBorders>
              <w:top w:val="nil"/>
              <w:left w:val="nil"/>
              <w:bottom w:val="nil"/>
              <w:right w:val="nil"/>
            </w:tcBorders>
            <w:noWrap/>
            <w:vAlign w:val="bottom"/>
            <w:hideMark/>
          </w:tcPr>
          <w:p w14:paraId="5568D00C" w14:textId="77777777" w:rsidR="001267DE" w:rsidRPr="00160081" w:rsidRDefault="006D21C2" w:rsidP="00C8104B">
            <w:pPr>
              <w:pStyle w:val="Prrafodelista"/>
              <w:numPr>
                <w:ilvl w:val="0"/>
                <w:numId w:val="45"/>
              </w:numPr>
              <w:spacing w:after="0" w:line="240" w:lineRule="auto"/>
              <w:rPr>
                <w:rFonts w:eastAsia="Times New Roman" w:cstheme="minorHAnsi"/>
                <w:color w:val="000000"/>
                <w:sz w:val="20"/>
                <w:szCs w:val="20"/>
                <w:lang w:eastAsia="es-EC"/>
              </w:rPr>
            </w:pPr>
            <w:r w:rsidRPr="00160081">
              <w:rPr>
                <w:rFonts w:eastAsia="Times New Roman" w:cstheme="minorHAnsi"/>
                <w:color w:val="000000"/>
                <w:sz w:val="20"/>
                <w:szCs w:val="20"/>
                <w:lang w:eastAsia="es-EC"/>
              </w:rPr>
              <w:t xml:space="preserve">La ejecución de los casos de uso se realizará en 264 días hábiles. Adicionalmente, a continuación, se propone el formato que debe ser llenado desglosando los rubros </w:t>
            </w:r>
          </w:p>
          <w:p w14:paraId="4D1B833C" w14:textId="12DA2276" w:rsidR="006D21C2" w:rsidRPr="00160081" w:rsidRDefault="006D21C2" w:rsidP="001267DE">
            <w:pPr>
              <w:pStyle w:val="Prrafodelista"/>
              <w:spacing w:after="0" w:line="240" w:lineRule="auto"/>
              <w:ind w:left="360"/>
              <w:rPr>
                <w:rFonts w:eastAsia="Times New Roman" w:cstheme="minorHAnsi"/>
                <w:color w:val="000000"/>
                <w:sz w:val="20"/>
                <w:szCs w:val="20"/>
                <w:lang w:eastAsia="es-EC"/>
              </w:rPr>
            </w:pPr>
            <w:r w:rsidRPr="00160081">
              <w:rPr>
                <w:rFonts w:eastAsia="Times New Roman" w:cstheme="minorHAnsi"/>
                <w:color w:val="000000"/>
                <w:sz w:val="20"/>
                <w:szCs w:val="20"/>
                <w:lang w:eastAsia="es-EC"/>
              </w:rPr>
              <w:t>señalados por cada caso de uso en horas hombre:</w:t>
            </w:r>
          </w:p>
          <w:p w14:paraId="28015AB6" w14:textId="13F86562" w:rsidR="006D21C2" w:rsidRPr="00160081" w:rsidRDefault="006D21C2" w:rsidP="006D21C2">
            <w:pPr>
              <w:pStyle w:val="Prrafodelista"/>
              <w:spacing w:after="0" w:line="240" w:lineRule="auto"/>
              <w:ind w:left="360"/>
              <w:rPr>
                <w:rFonts w:eastAsia="Times New Roman" w:cstheme="minorHAnsi"/>
                <w:color w:val="000000"/>
                <w:sz w:val="20"/>
                <w:szCs w:val="20"/>
                <w:lang w:eastAsia="es-EC"/>
              </w:rPr>
            </w:pPr>
          </w:p>
        </w:tc>
      </w:tr>
    </w:tbl>
    <w:p w14:paraId="7739F6E5" w14:textId="77777777" w:rsidR="00FD2313" w:rsidRPr="00160081" w:rsidRDefault="00FD2313" w:rsidP="00D34E44">
      <w:pPr>
        <w:spacing w:after="0" w:line="240" w:lineRule="auto"/>
        <w:jc w:val="both"/>
        <w:rPr>
          <w:rFonts w:eastAsia="Times New Roman" w:cstheme="minorHAnsi"/>
          <w:b/>
          <w:bCs/>
          <w:sz w:val="20"/>
          <w:szCs w:val="20"/>
          <w:lang w:eastAsia="es-EC"/>
        </w:rPr>
      </w:pPr>
    </w:p>
    <w:tbl>
      <w:tblPr>
        <w:tblW w:w="5464" w:type="pct"/>
        <w:jc w:val="center"/>
        <w:tblCellMar>
          <w:left w:w="70" w:type="dxa"/>
          <w:right w:w="70" w:type="dxa"/>
        </w:tblCellMar>
        <w:tblLook w:val="04A0" w:firstRow="1" w:lastRow="0" w:firstColumn="1" w:lastColumn="0" w:noHBand="0" w:noVBand="1"/>
      </w:tblPr>
      <w:tblGrid>
        <w:gridCol w:w="6516"/>
        <w:gridCol w:w="2412"/>
        <w:gridCol w:w="2158"/>
        <w:gridCol w:w="2658"/>
      </w:tblGrid>
      <w:tr w:rsidR="00FD2313" w:rsidRPr="00160081" w14:paraId="2E72DA58" w14:textId="77777777" w:rsidTr="00FD2313">
        <w:trPr>
          <w:trHeight w:val="253"/>
          <w:tblHeader/>
          <w:jc w:val="center"/>
        </w:trPr>
        <w:tc>
          <w:tcPr>
            <w:tcW w:w="2370" w:type="pct"/>
            <w:tcBorders>
              <w:top w:val="single" w:sz="4" w:space="0" w:color="auto"/>
              <w:left w:val="single" w:sz="4" w:space="0" w:color="auto"/>
              <w:bottom w:val="single" w:sz="4" w:space="0" w:color="auto"/>
              <w:right w:val="single" w:sz="4" w:space="0" w:color="auto"/>
            </w:tcBorders>
            <w:vAlign w:val="center"/>
            <w:hideMark/>
          </w:tcPr>
          <w:p w14:paraId="46CC87E1" w14:textId="77777777" w:rsidR="00FD2313" w:rsidRPr="006D21C2" w:rsidRDefault="00FD2313" w:rsidP="00BD3D91">
            <w:pPr>
              <w:spacing w:after="0" w:line="240" w:lineRule="auto"/>
              <w:jc w:val="center"/>
              <w:rPr>
                <w:rFonts w:eastAsia="Times New Roman" w:cstheme="minorHAnsi"/>
                <w:b/>
                <w:bCs/>
                <w:color w:val="000000"/>
                <w:sz w:val="20"/>
                <w:szCs w:val="20"/>
                <w:lang w:eastAsia="es-EC"/>
              </w:rPr>
            </w:pPr>
            <w:r w:rsidRPr="006D21C2">
              <w:rPr>
                <w:rFonts w:eastAsia="Times New Roman" w:cstheme="minorHAnsi"/>
                <w:b/>
                <w:bCs/>
                <w:color w:val="000000"/>
                <w:sz w:val="20"/>
                <w:szCs w:val="20"/>
                <w:lang w:eastAsia="es-EC"/>
              </w:rPr>
              <w:t>Casos de Uso</w:t>
            </w:r>
          </w:p>
        </w:tc>
        <w:tc>
          <w:tcPr>
            <w:tcW w:w="877" w:type="pct"/>
            <w:tcBorders>
              <w:top w:val="single" w:sz="4" w:space="0" w:color="auto"/>
              <w:left w:val="nil"/>
              <w:bottom w:val="single" w:sz="4" w:space="0" w:color="auto"/>
              <w:right w:val="single" w:sz="4" w:space="0" w:color="auto"/>
            </w:tcBorders>
            <w:vAlign w:val="center"/>
            <w:hideMark/>
          </w:tcPr>
          <w:p w14:paraId="2F85AE43" w14:textId="77777777" w:rsidR="00FD2313" w:rsidRPr="006D21C2" w:rsidRDefault="00FD2313" w:rsidP="00BD3D91">
            <w:pPr>
              <w:spacing w:after="0" w:line="240" w:lineRule="auto"/>
              <w:jc w:val="center"/>
              <w:rPr>
                <w:rFonts w:eastAsia="Times New Roman" w:cstheme="minorHAnsi"/>
                <w:b/>
                <w:bCs/>
                <w:color w:val="000000"/>
                <w:sz w:val="20"/>
                <w:szCs w:val="20"/>
                <w:lang w:eastAsia="es-EC"/>
              </w:rPr>
            </w:pPr>
            <w:r w:rsidRPr="006D21C2">
              <w:rPr>
                <w:rFonts w:eastAsia="Times New Roman" w:cstheme="minorHAnsi"/>
                <w:b/>
                <w:bCs/>
                <w:color w:val="000000"/>
                <w:sz w:val="20"/>
                <w:szCs w:val="20"/>
                <w:lang w:eastAsia="es-EC"/>
              </w:rPr>
              <w:t>Valor hora/hombre</w:t>
            </w:r>
          </w:p>
        </w:tc>
        <w:tc>
          <w:tcPr>
            <w:tcW w:w="785" w:type="pct"/>
            <w:tcBorders>
              <w:top w:val="single" w:sz="4" w:space="0" w:color="auto"/>
              <w:left w:val="nil"/>
              <w:bottom w:val="single" w:sz="4" w:space="0" w:color="auto"/>
              <w:right w:val="single" w:sz="4" w:space="0" w:color="auto"/>
            </w:tcBorders>
            <w:vAlign w:val="center"/>
            <w:hideMark/>
          </w:tcPr>
          <w:p w14:paraId="367B0CEB" w14:textId="77777777" w:rsidR="00FD2313" w:rsidRPr="006D21C2" w:rsidRDefault="00FD2313" w:rsidP="00BD3D91">
            <w:pPr>
              <w:spacing w:after="0" w:line="240" w:lineRule="auto"/>
              <w:jc w:val="center"/>
              <w:rPr>
                <w:rFonts w:eastAsia="Times New Roman" w:cstheme="minorHAnsi"/>
                <w:b/>
                <w:bCs/>
                <w:color w:val="000000"/>
                <w:sz w:val="20"/>
                <w:szCs w:val="20"/>
                <w:lang w:eastAsia="es-EC"/>
              </w:rPr>
            </w:pPr>
            <w:r w:rsidRPr="006D21C2">
              <w:rPr>
                <w:rFonts w:eastAsia="Times New Roman" w:cstheme="minorHAnsi"/>
                <w:b/>
                <w:bCs/>
                <w:color w:val="000000"/>
                <w:sz w:val="20"/>
                <w:szCs w:val="20"/>
                <w:lang w:eastAsia="es-EC"/>
              </w:rPr>
              <w:t>Cantidad de horas</w:t>
            </w:r>
          </w:p>
        </w:tc>
        <w:tc>
          <w:tcPr>
            <w:tcW w:w="967" w:type="pct"/>
            <w:tcBorders>
              <w:top w:val="single" w:sz="4" w:space="0" w:color="auto"/>
              <w:left w:val="nil"/>
              <w:bottom w:val="single" w:sz="4" w:space="0" w:color="auto"/>
              <w:right w:val="single" w:sz="4" w:space="0" w:color="auto"/>
            </w:tcBorders>
            <w:vAlign w:val="center"/>
            <w:hideMark/>
          </w:tcPr>
          <w:p w14:paraId="29AB5F46" w14:textId="77777777" w:rsidR="00FD2313" w:rsidRPr="006D21C2" w:rsidRDefault="00FD2313" w:rsidP="00BD3D91">
            <w:pPr>
              <w:spacing w:after="0" w:line="240" w:lineRule="auto"/>
              <w:jc w:val="center"/>
              <w:rPr>
                <w:rFonts w:eastAsia="Times New Roman" w:cstheme="minorHAnsi"/>
                <w:b/>
                <w:bCs/>
                <w:color w:val="000000"/>
                <w:sz w:val="20"/>
                <w:szCs w:val="20"/>
                <w:lang w:eastAsia="es-EC"/>
              </w:rPr>
            </w:pPr>
            <w:r w:rsidRPr="006D21C2">
              <w:rPr>
                <w:rFonts w:eastAsia="Times New Roman" w:cstheme="minorHAnsi"/>
                <w:b/>
                <w:bCs/>
                <w:color w:val="000000"/>
                <w:sz w:val="20"/>
                <w:szCs w:val="20"/>
                <w:lang w:eastAsia="es-EC"/>
              </w:rPr>
              <w:t>Costo total</w:t>
            </w:r>
          </w:p>
        </w:tc>
      </w:tr>
      <w:tr w:rsidR="00FD2313" w:rsidRPr="00160081" w14:paraId="5E46F5CA" w14:textId="77777777" w:rsidTr="00FD2313">
        <w:trPr>
          <w:trHeight w:val="51"/>
          <w:jc w:val="center"/>
        </w:trPr>
        <w:tc>
          <w:tcPr>
            <w:tcW w:w="2370" w:type="pct"/>
            <w:tcBorders>
              <w:top w:val="nil"/>
              <w:left w:val="single" w:sz="4" w:space="0" w:color="auto"/>
              <w:bottom w:val="single" w:sz="4" w:space="0" w:color="auto"/>
              <w:right w:val="single" w:sz="4" w:space="0" w:color="auto"/>
            </w:tcBorders>
            <w:vAlign w:val="center"/>
            <w:hideMark/>
          </w:tcPr>
          <w:p w14:paraId="072F3A9D"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val="es-ES" w:eastAsia="es-EC"/>
              </w:rPr>
              <w:t>Caso 1: Gestión de Obligaciones - Impuesto a la Renta (IR)</w:t>
            </w:r>
          </w:p>
        </w:tc>
        <w:tc>
          <w:tcPr>
            <w:tcW w:w="877" w:type="pct"/>
            <w:tcBorders>
              <w:top w:val="nil"/>
              <w:left w:val="nil"/>
              <w:bottom w:val="single" w:sz="4" w:space="0" w:color="auto"/>
              <w:right w:val="single" w:sz="4" w:space="0" w:color="auto"/>
            </w:tcBorders>
            <w:noWrap/>
            <w:vAlign w:val="bottom"/>
            <w:hideMark/>
          </w:tcPr>
          <w:p w14:paraId="39E847F1"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1F1CB727"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2BAB1B67"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0219A926"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63502923"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val="es-ES" w:eastAsia="es-EC"/>
              </w:rPr>
              <w:t>Caso 2: Gestión de Obligaciones - Impuesto al Valor Agregado (IVA)</w:t>
            </w:r>
          </w:p>
        </w:tc>
        <w:tc>
          <w:tcPr>
            <w:tcW w:w="877" w:type="pct"/>
            <w:tcBorders>
              <w:top w:val="nil"/>
              <w:left w:val="nil"/>
              <w:bottom w:val="single" w:sz="4" w:space="0" w:color="auto"/>
              <w:right w:val="single" w:sz="4" w:space="0" w:color="auto"/>
            </w:tcBorders>
            <w:noWrap/>
            <w:vAlign w:val="bottom"/>
            <w:hideMark/>
          </w:tcPr>
          <w:p w14:paraId="15470CFE"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61CA279D"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235EACD8"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672FF183" w14:textId="77777777" w:rsidTr="00FD2313">
        <w:trPr>
          <w:trHeight w:val="47"/>
          <w:jc w:val="center"/>
        </w:trPr>
        <w:tc>
          <w:tcPr>
            <w:tcW w:w="2370" w:type="pct"/>
            <w:tcBorders>
              <w:top w:val="nil"/>
              <w:left w:val="single" w:sz="4" w:space="0" w:color="auto"/>
              <w:bottom w:val="single" w:sz="4" w:space="0" w:color="auto"/>
              <w:right w:val="single" w:sz="4" w:space="0" w:color="auto"/>
            </w:tcBorders>
            <w:vAlign w:val="center"/>
            <w:hideMark/>
          </w:tcPr>
          <w:p w14:paraId="2D7ABFA4"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3: Sistema de Gestión de Riesgos Tributarios - Impuesto a la Renta (IR)</w:t>
            </w:r>
          </w:p>
        </w:tc>
        <w:tc>
          <w:tcPr>
            <w:tcW w:w="877" w:type="pct"/>
            <w:tcBorders>
              <w:top w:val="nil"/>
              <w:left w:val="nil"/>
              <w:bottom w:val="single" w:sz="4" w:space="0" w:color="auto"/>
              <w:right w:val="single" w:sz="4" w:space="0" w:color="auto"/>
            </w:tcBorders>
            <w:noWrap/>
            <w:vAlign w:val="bottom"/>
            <w:hideMark/>
          </w:tcPr>
          <w:p w14:paraId="5916D03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5B3DE1EF"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70116A8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5A26CDB7" w14:textId="77777777" w:rsidTr="00FD2313">
        <w:trPr>
          <w:trHeight w:val="47"/>
          <w:jc w:val="center"/>
        </w:trPr>
        <w:tc>
          <w:tcPr>
            <w:tcW w:w="2370" w:type="pct"/>
            <w:tcBorders>
              <w:top w:val="nil"/>
              <w:left w:val="single" w:sz="4" w:space="0" w:color="auto"/>
              <w:bottom w:val="single" w:sz="4" w:space="0" w:color="auto"/>
              <w:right w:val="single" w:sz="4" w:space="0" w:color="auto"/>
            </w:tcBorders>
            <w:vAlign w:val="center"/>
            <w:hideMark/>
          </w:tcPr>
          <w:p w14:paraId="35512B3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4: Sistema de Gestión de Riesgos Tributarios - Impuesto al Valor Agregado (IVA)</w:t>
            </w:r>
          </w:p>
        </w:tc>
        <w:tc>
          <w:tcPr>
            <w:tcW w:w="877" w:type="pct"/>
            <w:tcBorders>
              <w:top w:val="nil"/>
              <w:left w:val="nil"/>
              <w:bottom w:val="single" w:sz="4" w:space="0" w:color="auto"/>
              <w:right w:val="single" w:sz="4" w:space="0" w:color="auto"/>
            </w:tcBorders>
            <w:noWrap/>
            <w:vAlign w:val="bottom"/>
            <w:hideMark/>
          </w:tcPr>
          <w:p w14:paraId="05F2F9A1"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555F4E8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4453B3D5"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7F4D5EF9"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1DAECF6E"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5: Gestión de Sanciones</w:t>
            </w:r>
          </w:p>
        </w:tc>
        <w:tc>
          <w:tcPr>
            <w:tcW w:w="877" w:type="pct"/>
            <w:tcBorders>
              <w:top w:val="nil"/>
              <w:left w:val="nil"/>
              <w:bottom w:val="single" w:sz="4" w:space="0" w:color="auto"/>
              <w:right w:val="single" w:sz="4" w:space="0" w:color="auto"/>
            </w:tcBorders>
            <w:noWrap/>
            <w:vAlign w:val="bottom"/>
            <w:hideMark/>
          </w:tcPr>
          <w:p w14:paraId="565882A8"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1C993CC0"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3DBC63CC"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06F57A22"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56417CCD"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6: Control de Veracidad</w:t>
            </w:r>
          </w:p>
        </w:tc>
        <w:tc>
          <w:tcPr>
            <w:tcW w:w="877" w:type="pct"/>
            <w:tcBorders>
              <w:top w:val="nil"/>
              <w:left w:val="nil"/>
              <w:bottom w:val="single" w:sz="4" w:space="0" w:color="auto"/>
              <w:right w:val="single" w:sz="4" w:space="0" w:color="auto"/>
            </w:tcBorders>
            <w:noWrap/>
            <w:vAlign w:val="bottom"/>
            <w:hideMark/>
          </w:tcPr>
          <w:p w14:paraId="295DB88A"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0B7D4779"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602BAF6B"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785101F9"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125B3129"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7: Gestión de Trámites</w:t>
            </w:r>
          </w:p>
        </w:tc>
        <w:tc>
          <w:tcPr>
            <w:tcW w:w="877" w:type="pct"/>
            <w:tcBorders>
              <w:top w:val="nil"/>
              <w:left w:val="nil"/>
              <w:bottom w:val="single" w:sz="4" w:space="0" w:color="auto"/>
              <w:right w:val="single" w:sz="4" w:space="0" w:color="auto"/>
            </w:tcBorders>
            <w:noWrap/>
            <w:vAlign w:val="bottom"/>
            <w:hideMark/>
          </w:tcPr>
          <w:p w14:paraId="4F79BE5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0C87341F"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39E7450E"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3CF797AA"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56C5B022"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8: Gestión de Archivo</w:t>
            </w:r>
          </w:p>
        </w:tc>
        <w:tc>
          <w:tcPr>
            <w:tcW w:w="877" w:type="pct"/>
            <w:tcBorders>
              <w:top w:val="nil"/>
              <w:left w:val="nil"/>
              <w:bottom w:val="single" w:sz="4" w:space="0" w:color="auto"/>
              <w:right w:val="single" w:sz="4" w:space="0" w:color="auto"/>
            </w:tcBorders>
            <w:noWrap/>
            <w:vAlign w:val="bottom"/>
            <w:hideMark/>
          </w:tcPr>
          <w:p w14:paraId="7902D9CC"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7D6A51F4"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72D6FEBD"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r w:rsidR="00FD2313" w:rsidRPr="00160081" w14:paraId="2806FA6D" w14:textId="77777777" w:rsidTr="00FD2313">
        <w:trPr>
          <w:trHeight w:val="288"/>
          <w:jc w:val="center"/>
        </w:trPr>
        <w:tc>
          <w:tcPr>
            <w:tcW w:w="2370" w:type="pct"/>
            <w:tcBorders>
              <w:top w:val="nil"/>
              <w:left w:val="single" w:sz="4" w:space="0" w:color="auto"/>
              <w:bottom w:val="single" w:sz="4" w:space="0" w:color="auto"/>
              <w:right w:val="single" w:sz="4" w:space="0" w:color="auto"/>
            </w:tcBorders>
            <w:vAlign w:val="center"/>
            <w:hideMark/>
          </w:tcPr>
          <w:p w14:paraId="01822A1B"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Caso 9: Expediente Integral del Contribuyente</w:t>
            </w:r>
          </w:p>
        </w:tc>
        <w:tc>
          <w:tcPr>
            <w:tcW w:w="877" w:type="pct"/>
            <w:tcBorders>
              <w:top w:val="nil"/>
              <w:left w:val="nil"/>
              <w:bottom w:val="single" w:sz="4" w:space="0" w:color="auto"/>
              <w:right w:val="single" w:sz="4" w:space="0" w:color="auto"/>
            </w:tcBorders>
            <w:noWrap/>
            <w:vAlign w:val="bottom"/>
            <w:hideMark/>
          </w:tcPr>
          <w:p w14:paraId="7995FD03"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785" w:type="pct"/>
            <w:tcBorders>
              <w:top w:val="nil"/>
              <w:left w:val="nil"/>
              <w:bottom w:val="single" w:sz="4" w:space="0" w:color="auto"/>
              <w:right w:val="single" w:sz="4" w:space="0" w:color="auto"/>
            </w:tcBorders>
            <w:noWrap/>
            <w:vAlign w:val="bottom"/>
            <w:hideMark/>
          </w:tcPr>
          <w:p w14:paraId="0A184691"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c>
          <w:tcPr>
            <w:tcW w:w="967" w:type="pct"/>
            <w:tcBorders>
              <w:top w:val="nil"/>
              <w:left w:val="nil"/>
              <w:bottom w:val="single" w:sz="4" w:space="0" w:color="auto"/>
              <w:right w:val="single" w:sz="4" w:space="0" w:color="auto"/>
            </w:tcBorders>
            <w:noWrap/>
            <w:vAlign w:val="bottom"/>
            <w:hideMark/>
          </w:tcPr>
          <w:p w14:paraId="6057EC09" w14:textId="77777777" w:rsidR="00FD2313" w:rsidRPr="006D21C2" w:rsidRDefault="00FD2313" w:rsidP="00BD3D91">
            <w:pPr>
              <w:spacing w:after="0" w:line="240" w:lineRule="auto"/>
              <w:rPr>
                <w:rFonts w:eastAsia="Times New Roman" w:cstheme="minorHAnsi"/>
                <w:color w:val="000000"/>
                <w:sz w:val="20"/>
                <w:szCs w:val="20"/>
                <w:lang w:eastAsia="es-EC"/>
              </w:rPr>
            </w:pPr>
            <w:r w:rsidRPr="006D21C2">
              <w:rPr>
                <w:rFonts w:eastAsia="Times New Roman" w:cstheme="minorHAnsi"/>
                <w:color w:val="000000"/>
                <w:sz w:val="20"/>
                <w:szCs w:val="20"/>
                <w:lang w:eastAsia="es-EC"/>
              </w:rPr>
              <w:t> </w:t>
            </w:r>
          </w:p>
        </w:tc>
      </w:tr>
    </w:tbl>
    <w:p w14:paraId="44DABC96" w14:textId="081E5577" w:rsidR="00FD2313" w:rsidRPr="00160081" w:rsidRDefault="001267DE" w:rsidP="001267DE">
      <w:pPr>
        <w:tabs>
          <w:tab w:val="left" w:pos="914"/>
        </w:tabs>
        <w:spacing w:after="0" w:line="240" w:lineRule="auto"/>
        <w:jc w:val="both"/>
        <w:rPr>
          <w:rFonts w:eastAsia="Times New Roman" w:cstheme="minorHAnsi"/>
          <w:b/>
          <w:bCs/>
          <w:sz w:val="20"/>
          <w:szCs w:val="20"/>
          <w:lang w:eastAsia="es-EC"/>
        </w:rPr>
      </w:pPr>
      <w:r w:rsidRPr="00160081">
        <w:rPr>
          <w:rFonts w:eastAsia="Times New Roman" w:cstheme="minorHAnsi"/>
          <w:b/>
          <w:bCs/>
          <w:sz w:val="20"/>
          <w:szCs w:val="20"/>
          <w:lang w:eastAsia="es-EC"/>
        </w:rPr>
        <w:tab/>
      </w:r>
    </w:p>
    <w:p w14:paraId="5AAD9CAD" w14:textId="77777777" w:rsidR="001267DE" w:rsidRPr="00160081" w:rsidRDefault="001267DE" w:rsidP="001267DE">
      <w:pPr>
        <w:spacing w:after="0" w:line="240" w:lineRule="auto"/>
        <w:jc w:val="both"/>
        <w:rPr>
          <w:rFonts w:eastAsia="Times New Roman" w:cstheme="minorHAnsi"/>
          <w:b/>
          <w:bCs/>
          <w:sz w:val="20"/>
          <w:szCs w:val="20"/>
          <w:lang w:eastAsia="es-EC"/>
        </w:rPr>
      </w:pPr>
      <w:r w:rsidRPr="00160081">
        <w:rPr>
          <w:rFonts w:eastAsia="Times New Roman" w:cstheme="minorHAnsi"/>
          <w:b/>
          <w:bCs/>
          <w:sz w:val="20"/>
          <w:szCs w:val="20"/>
          <w:lang w:eastAsia="es-EC"/>
        </w:rPr>
        <w:t>Nota: Los oferentes deberán garantizar el entendimiento y el cumplimiento de todas las especificaciones técnicas y servicios conexos requeridos.</w:t>
      </w:r>
    </w:p>
    <w:p w14:paraId="2DDB8C99" w14:textId="77777777" w:rsidR="001267DE" w:rsidRPr="00160081" w:rsidRDefault="001267DE" w:rsidP="001267DE">
      <w:pPr>
        <w:tabs>
          <w:tab w:val="left" w:pos="914"/>
        </w:tabs>
        <w:spacing w:after="0" w:line="240" w:lineRule="auto"/>
        <w:jc w:val="both"/>
        <w:rPr>
          <w:rFonts w:eastAsia="Times New Roman" w:cstheme="minorHAnsi"/>
          <w:b/>
          <w:bCs/>
          <w:sz w:val="20"/>
          <w:szCs w:val="20"/>
          <w:lang w:eastAsia="es-EC"/>
        </w:rPr>
      </w:pPr>
    </w:p>
    <w:p w14:paraId="537B2712" w14:textId="1681AEDF" w:rsidR="001267DE" w:rsidRPr="00160081" w:rsidRDefault="001267DE" w:rsidP="001267DE">
      <w:pPr>
        <w:tabs>
          <w:tab w:val="left" w:pos="914"/>
        </w:tabs>
        <w:rPr>
          <w:rFonts w:eastAsia="Times New Roman" w:cstheme="minorHAnsi"/>
          <w:sz w:val="20"/>
          <w:szCs w:val="20"/>
          <w:lang w:eastAsia="es-EC"/>
        </w:rPr>
        <w:sectPr w:rsidR="001267DE" w:rsidRPr="00160081" w:rsidSect="00FD2313">
          <w:headerReference w:type="default" r:id="rId11"/>
          <w:footerReference w:type="default" r:id="rId12"/>
          <w:pgSz w:w="16840" w:h="11900" w:orient="landscape"/>
          <w:pgMar w:top="1985" w:right="2835" w:bottom="1979" w:left="1418" w:header="0" w:footer="2177" w:gutter="0"/>
          <w:cols w:space="708"/>
          <w:docGrid w:linePitch="360"/>
        </w:sectPr>
      </w:pPr>
      <w:r w:rsidRPr="00160081">
        <w:rPr>
          <w:rFonts w:eastAsia="Times New Roman" w:cstheme="minorHAnsi"/>
          <w:sz w:val="20"/>
          <w:szCs w:val="20"/>
          <w:lang w:eastAsia="es-EC"/>
        </w:rPr>
        <w:tab/>
      </w:r>
    </w:p>
    <w:p w14:paraId="3DA6DF15" w14:textId="77777777" w:rsidR="00D34E44" w:rsidRPr="00160081" w:rsidRDefault="00D34E44" w:rsidP="00D34E44">
      <w:pPr>
        <w:tabs>
          <w:tab w:val="left" w:pos="720"/>
        </w:tabs>
        <w:spacing w:after="0" w:line="240" w:lineRule="auto"/>
        <w:jc w:val="both"/>
        <w:rPr>
          <w:rFonts w:eastAsia="Times New Roman" w:cstheme="minorHAnsi"/>
          <w:b/>
          <w:bCs/>
          <w:sz w:val="20"/>
          <w:szCs w:val="20"/>
          <w:lang w:eastAsia="es-EC"/>
        </w:rPr>
      </w:pPr>
      <w:r w:rsidRPr="00160081">
        <w:rPr>
          <w:rFonts w:eastAsia="Times New Roman" w:cstheme="minorHAnsi"/>
          <w:b/>
          <w:bCs/>
          <w:sz w:val="20"/>
          <w:szCs w:val="20"/>
          <w:lang w:eastAsia="es-EC"/>
        </w:rPr>
        <w:t>Listado de países elegibles</w:t>
      </w:r>
    </w:p>
    <w:p w14:paraId="45C90B29" w14:textId="77777777" w:rsidR="00D34E44" w:rsidRPr="00160081" w:rsidRDefault="00D34E44" w:rsidP="00D34E44">
      <w:pPr>
        <w:tabs>
          <w:tab w:val="left" w:pos="720"/>
        </w:tabs>
        <w:spacing w:after="0" w:line="240" w:lineRule="auto"/>
        <w:jc w:val="both"/>
        <w:rPr>
          <w:rFonts w:eastAsia="Times New Roman" w:cstheme="minorHAnsi"/>
          <w:b/>
          <w:bCs/>
          <w:sz w:val="20"/>
          <w:szCs w:val="20"/>
          <w:lang w:eastAsia="es-EC"/>
        </w:rPr>
      </w:pPr>
    </w:p>
    <w:p w14:paraId="4CBDF843" w14:textId="77777777" w:rsidR="00D34E44" w:rsidRPr="00160081" w:rsidRDefault="00D34E44" w:rsidP="00D34E44">
      <w:pPr>
        <w:pStyle w:val="Prrafodelista"/>
        <w:numPr>
          <w:ilvl w:val="0"/>
          <w:numId w:val="3"/>
        </w:numPr>
        <w:tabs>
          <w:tab w:val="left" w:pos="720"/>
        </w:tabs>
        <w:spacing w:after="0" w:line="240" w:lineRule="auto"/>
        <w:jc w:val="both"/>
        <w:rPr>
          <w:rFonts w:eastAsia="Times New Roman" w:cstheme="minorHAnsi"/>
          <w:sz w:val="20"/>
          <w:szCs w:val="20"/>
          <w:lang w:eastAsia="es-EC"/>
        </w:rPr>
      </w:pPr>
      <w:r w:rsidRPr="00160081">
        <w:rPr>
          <w:rFonts w:eastAsia="Times New Roman" w:cstheme="minorHAnsi"/>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2EEA1069" w14:textId="77777777" w:rsidR="00D34E44" w:rsidRPr="00160081" w:rsidRDefault="00D34E44" w:rsidP="00D34E44">
      <w:pPr>
        <w:spacing w:after="0" w:line="240" w:lineRule="auto"/>
        <w:jc w:val="both"/>
        <w:rPr>
          <w:rFonts w:eastAsia="Times New Roman" w:cstheme="minorHAnsi"/>
          <w:b/>
          <w:bCs/>
          <w:sz w:val="20"/>
          <w:szCs w:val="20"/>
          <w:lang w:eastAsia="es-EC"/>
        </w:rPr>
      </w:pPr>
    </w:p>
    <w:p w14:paraId="64845F76" w14:textId="77777777" w:rsidR="00D34E44" w:rsidRPr="00160081" w:rsidRDefault="00D34E44" w:rsidP="00D34E44">
      <w:pPr>
        <w:spacing w:after="0" w:line="240" w:lineRule="auto"/>
        <w:jc w:val="both"/>
        <w:rPr>
          <w:rFonts w:eastAsia="Times New Roman" w:cstheme="minorHAnsi"/>
          <w:sz w:val="20"/>
          <w:szCs w:val="20"/>
          <w:lang w:eastAsia="es-EC"/>
        </w:rPr>
      </w:pPr>
      <w:r w:rsidRPr="00160081">
        <w:rPr>
          <w:rFonts w:eastAsia="Times New Roman" w:cstheme="minorHAnsi"/>
          <w:b/>
          <w:bCs/>
          <w:sz w:val="20"/>
          <w:szCs w:val="20"/>
          <w:lang w:eastAsia="es-EC"/>
        </w:rPr>
        <w:t>Territorios elegibles</w:t>
      </w:r>
    </w:p>
    <w:p w14:paraId="454F3178" w14:textId="77777777" w:rsidR="00D34E44" w:rsidRPr="00160081" w:rsidRDefault="00D34E44" w:rsidP="00D34E44">
      <w:pPr>
        <w:numPr>
          <w:ilvl w:val="0"/>
          <w:numId w:val="2"/>
        </w:numPr>
        <w:tabs>
          <w:tab w:val="left" w:pos="720"/>
        </w:tabs>
        <w:spacing w:beforeAutospacing="1" w:afterAutospacing="1" w:line="240" w:lineRule="auto"/>
        <w:jc w:val="both"/>
        <w:rPr>
          <w:rFonts w:eastAsia="Times New Roman" w:cstheme="minorHAnsi"/>
          <w:sz w:val="20"/>
          <w:szCs w:val="20"/>
          <w:lang w:eastAsia="es-EC"/>
        </w:rPr>
      </w:pPr>
      <w:r w:rsidRPr="00160081">
        <w:rPr>
          <w:rFonts w:eastAsia="Times New Roman" w:cstheme="minorHAnsi"/>
          <w:sz w:val="20"/>
          <w:szCs w:val="20"/>
          <w:lang w:eastAsia="es-EC"/>
        </w:rPr>
        <w:t>Guadalupe, Guyana Francesa, Martinica, Reunión – por ser Departamentos de Francia.</w:t>
      </w:r>
    </w:p>
    <w:p w14:paraId="0A29AF40" w14:textId="77777777" w:rsidR="00D34E44" w:rsidRPr="00160081" w:rsidRDefault="00D34E44" w:rsidP="00D34E44">
      <w:pPr>
        <w:numPr>
          <w:ilvl w:val="0"/>
          <w:numId w:val="2"/>
        </w:numPr>
        <w:tabs>
          <w:tab w:val="left" w:pos="720"/>
        </w:tabs>
        <w:spacing w:beforeAutospacing="1" w:afterAutospacing="1" w:line="240" w:lineRule="auto"/>
        <w:jc w:val="both"/>
        <w:rPr>
          <w:rFonts w:eastAsia="Times New Roman" w:cstheme="minorHAnsi"/>
          <w:sz w:val="20"/>
          <w:szCs w:val="20"/>
          <w:lang w:eastAsia="es-EC"/>
        </w:rPr>
      </w:pPr>
      <w:r w:rsidRPr="00160081">
        <w:rPr>
          <w:rFonts w:eastAsia="Times New Roman" w:cstheme="minorHAnsi"/>
          <w:sz w:val="20"/>
          <w:szCs w:val="20"/>
          <w:lang w:eastAsia="es-EC"/>
        </w:rPr>
        <w:t>Islas Vírgenes Estadounidenses, Puerto Rico, Guam – por ser Territorios de los Estados Unidos de América.</w:t>
      </w:r>
    </w:p>
    <w:p w14:paraId="7C34D7E1" w14:textId="77777777" w:rsidR="00D34E44" w:rsidRPr="00160081" w:rsidRDefault="00D34E44" w:rsidP="00D34E44">
      <w:pPr>
        <w:numPr>
          <w:ilvl w:val="0"/>
          <w:numId w:val="2"/>
        </w:numPr>
        <w:tabs>
          <w:tab w:val="left" w:pos="720"/>
        </w:tabs>
        <w:spacing w:beforeAutospacing="1" w:afterAutospacing="1" w:line="240" w:lineRule="auto"/>
        <w:jc w:val="both"/>
        <w:rPr>
          <w:rFonts w:eastAsia="Times New Roman" w:cstheme="minorHAnsi"/>
          <w:sz w:val="20"/>
          <w:szCs w:val="20"/>
          <w:lang w:eastAsia="es-EC"/>
        </w:rPr>
      </w:pPr>
      <w:r w:rsidRPr="00160081">
        <w:rPr>
          <w:rFonts w:eastAsia="Times New Roman" w:cstheme="minorHAnsi"/>
          <w:sz w:val="20"/>
          <w:szCs w:val="20"/>
          <w:lang w:eastAsia="es-EC"/>
        </w:rPr>
        <w:t xml:space="preserve">Aruba – por ser País Constituyente del Reino de los Países Bajos; y Bonaire, Curazao, Sint Maarten, Sint </w:t>
      </w:r>
      <w:proofErr w:type="spellStart"/>
      <w:r w:rsidRPr="00160081">
        <w:rPr>
          <w:rFonts w:eastAsia="Times New Roman" w:cstheme="minorHAnsi"/>
          <w:sz w:val="20"/>
          <w:szCs w:val="20"/>
          <w:lang w:eastAsia="es-EC"/>
        </w:rPr>
        <w:t>Eustatius</w:t>
      </w:r>
      <w:proofErr w:type="spellEnd"/>
      <w:r w:rsidRPr="00160081">
        <w:rPr>
          <w:rFonts w:eastAsia="Times New Roman" w:cstheme="minorHAnsi"/>
          <w:sz w:val="20"/>
          <w:szCs w:val="20"/>
          <w:lang w:eastAsia="es-EC"/>
        </w:rPr>
        <w:t xml:space="preserve"> – por ser Departamentos de Reino de los Países Bajos.</w:t>
      </w:r>
    </w:p>
    <w:p w14:paraId="124AC455" w14:textId="77777777" w:rsidR="00D34E44" w:rsidRPr="00160081" w:rsidRDefault="00D34E44" w:rsidP="00D34E44">
      <w:pPr>
        <w:numPr>
          <w:ilvl w:val="0"/>
          <w:numId w:val="2"/>
        </w:numPr>
        <w:tabs>
          <w:tab w:val="left" w:pos="720"/>
        </w:tabs>
        <w:spacing w:beforeAutospacing="1" w:afterAutospacing="1" w:line="240" w:lineRule="auto"/>
        <w:jc w:val="both"/>
        <w:rPr>
          <w:rFonts w:cstheme="minorHAnsi"/>
          <w:b/>
          <w:sz w:val="20"/>
          <w:szCs w:val="20"/>
        </w:rPr>
      </w:pPr>
      <w:r w:rsidRPr="00160081">
        <w:rPr>
          <w:rFonts w:eastAsia="Times New Roman" w:cstheme="minorHAnsi"/>
          <w:sz w:val="20"/>
          <w:szCs w:val="20"/>
          <w:lang w:eastAsia="es-EC"/>
        </w:rPr>
        <w:t>Hong Kong – por ser Región Especial Administrativa de la República Popular de China.</w:t>
      </w:r>
    </w:p>
    <w:p w14:paraId="76E51317" w14:textId="77777777" w:rsidR="00620319" w:rsidRPr="00160081" w:rsidRDefault="00620319" w:rsidP="00620319">
      <w:pPr>
        <w:spacing w:beforeAutospacing="1" w:afterAutospacing="1" w:line="240" w:lineRule="auto"/>
        <w:jc w:val="both"/>
        <w:rPr>
          <w:rFonts w:eastAsia="Times New Roman" w:cstheme="minorHAnsi"/>
          <w:sz w:val="20"/>
          <w:szCs w:val="20"/>
          <w:lang w:eastAsia="es-EC"/>
        </w:rPr>
      </w:pPr>
    </w:p>
    <w:p w14:paraId="04277484" w14:textId="4245D8F8" w:rsidR="00620319" w:rsidRPr="00160081" w:rsidRDefault="00620319" w:rsidP="00620319">
      <w:pPr>
        <w:spacing w:beforeAutospacing="1" w:afterAutospacing="1" w:line="240" w:lineRule="auto"/>
        <w:jc w:val="center"/>
        <w:rPr>
          <w:rStyle w:val="Fuentedeprrafopredeter2"/>
          <w:rFonts w:cstheme="minorHAnsi"/>
          <w:b/>
          <w:bCs/>
          <w:sz w:val="20"/>
          <w:szCs w:val="20"/>
        </w:rPr>
      </w:pPr>
      <w:r w:rsidRPr="00160081">
        <w:rPr>
          <w:rFonts w:eastAsia="Times New Roman" w:cstheme="minorHAnsi"/>
          <w:b/>
          <w:bCs/>
          <w:sz w:val="20"/>
          <w:szCs w:val="20"/>
          <w:lang w:eastAsia="es-EC"/>
        </w:rPr>
        <w:t>SERVICIO DE RENTAS INTERNAS</w:t>
      </w:r>
    </w:p>
    <w:p w14:paraId="1FE6A2A8" w14:textId="2B8B67F4" w:rsidR="00160081" w:rsidRPr="00160081" w:rsidRDefault="001267DE" w:rsidP="00160081">
      <w:pPr>
        <w:spacing w:line="276" w:lineRule="auto"/>
        <w:ind w:left="1440" w:hanging="1440"/>
        <w:jc w:val="center"/>
        <w:rPr>
          <w:rFonts w:cstheme="minorHAnsi"/>
          <w:b/>
          <w:bCs/>
          <w:kern w:val="36"/>
          <w:sz w:val="20"/>
          <w:szCs w:val="20"/>
        </w:rPr>
      </w:pPr>
      <w:r w:rsidRPr="00160081">
        <w:rPr>
          <w:rFonts w:eastAsia="Times New Roman" w:cstheme="minorHAnsi"/>
          <w:b/>
          <w:bCs/>
          <w:sz w:val="20"/>
          <w:szCs w:val="20"/>
          <w:lang w:eastAsia="es-EC"/>
        </w:rPr>
        <w:br w:type="page"/>
      </w:r>
    </w:p>
    <w:p w14:paraId="5DABAFEE"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2" w:name="_Toc217326198"/>
      <w:r w:rsidRPr="00160081">
        <w:rPr>
          <w:rFonts w:asciiTheme="minorHAnsi" w:eastAsia="Times New Roman" w:hAnsiTheme="minorHAnsi" w:cstheme="minorHAnsi"/>
          <w:b/>
          <w:bCs/>
          <w:color w:val="auto"/>
          <w:sz w:val="20"/>
          <w:szCs w:val="20"/>
        </w:rPr>
        <w:t>Antecedentes</w:t>
      </w:r>
      <w:bookmarkEnd w:id="2"/>
    </w:p>
    <w:p w14:paraId="1E892C5B" w14:textId="77777777" w:rsidR="00160081" w:rsidRPr="00160081" w:rsidRDefault="00160081" w:rsidP="00160081">
      <w:pPr>
        <w:jc w:val="both"/>
        <w:rPr>
          <w:rFonts w:eastAsia="Avenir Book" w:cstheme="minorHAnsi"/>
          <w:color w:val="000000" w:themeColor="text1"/>
          <w:sz w:val="20"/>
          <w:szCs w:val="20"/>
        </w:rPr>
      </w:pPr>
    </w:p>
    <w:p w14:paraId="0F77724F" w14:textId="77777777"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 xml:space="preserve">El </w:t>
      </w:r>
      <w:bookmarkStart w:id="3" w:name="OLE_LINK15"/>
      <w:r w:rsidRPr="00160081">
        <w:rPr>
          <w:rFonts w:eastAsia="Avenir Book" w:cstheme="minorHAnsi"/>
          <w:color w:val="000000" w:themeColor="text1"/>
          <w:sz w:val="20"/>
          <w:szCs w:val="20"/>
        </w:rPr>
        <w:t xml:space="preserve">Servicio de Rentas Internas </w:t>
      </w:r>
      <w:bookmarkEnd w:id="3"/>
      <w:r w:rsidRPr="00160081">
        <w:rPr>
          <w:rFonts w:eastAsia="Avenir Book" w:cstheme="minorHAnsi"/>
          <w:color w:val="000000" w:themeColor="text1"/>
          <w:sz w:val="20"/>
          <w:szCs w:val="20"/>
        </w:rPr>
        <w:t>(SRI), en cumplimiento de su mandato institucional y de los objetivos estratégicos establecidos en su Plan Estratégico Institucional 2025–2029, impulsa un proceso de modernización tecnológica orientado a fortalecer la eficiencia operativa, la calidad del servicio y la integridad de la gestión tributaria.</w:t>
      </w:r>
    </w:p>
    <w:p w14:paraId="7849E114" w14:textId="4D6C524C"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 xml:space="preserve"> Este proceso se enmarca en el Programa de Mejora de la Administración Tributaria y Aduanera Componente I. Fortalecimiento institucional del Servicio de Rentas Internas conforme a la firma de los contratos de préstamo No. 5598/OC-EC y No. 5599/KI-EC entre la República del Ecuador y el Banco Interamericano de Desarrollo en su calidad de administrador de la Facilidad de Corea de Cofinanciamiento para el Desarrollo de Infraestructura para América Latina y el Caribe, este Programa tiene como propósito apoyar la transformación digital del SRI mediante la modernización de su infraestructura tecnológica, la optimización de sus procesos internos y la consolidación de capacidades institucionales para una gestión más ágil, interoperable y basada en datos.</w:t>
      </w:r>
    </w:p>
    <w:p w14:paraId="2AFB63F2" w14:textId="4F9E0307"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 xml:space="preserve"> En el ámbito de la gestión interna, se ha identificado la necesidad de disponer de una solución tecnológica integral que permita al SRI automatizar y administrar de manera coordinada sus procesos, decisiones y documentos institucionales, superando los actuales desafíos de fragmentación tecnológica, duplicidad de esfuerzos y limitaciones en la trazabilidad de la información.</w:t>
      </w:r>
    </w:p>
    <w:p w14:paraId="7AA76334" w14:textId="7BE70013"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 xml:space="preserve"> Actualmente, los procesos gobernantes, cadena de valor (sustantivos), habilitantes de apoyo y asesoría (adjetivos) del SRI se apoyan en múltiples aplicaciones y repositorios independientes, desarrollados en distintos momentos y con diferentes niveles de madurez técnica, lo que genera inconsistencias funcionales, costos elevados de mantenimiento y dificultades para la interoperabilidad entre sistemas y aplicaciones.</w:t>
      </w:r>
    </w:p>
    <w:p w14:paraId="0295C89E" w14:textId="67FAE59E"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De igual forma, las reglas de negocio que rigen la operativa institucional, especialmente en materia de entendimiento y habilitación de las obligaciones tributarias, y gestión de riesgos tributarios (programación), se encuentran dispersas en sistemas y procedimientos manuales, sin un repositorio central que asegure su consistencia, trazabilidad y alineación normativa.</w:t>
      </w:r>
    </w:p>
    <w:p w14:paraId="2F9165F3" w14:textId="77777777"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En línea con las mejores prácticas internacionales promovidas por la Organización para la Cooperación y el Desarrollo Económicos (</w:t>
      </w:r>
      <w:bookmarkStart w:id="4" w:name="OLE_LINK16"/>
      <w:r w:rsidRPr="00160081">
        <w:rPr>
          <w:rFonts w:eastAsia="Avenir Book" w:cstheme="minorHAnsi"/>
          <w:color w:val="000000" w:themeColor="text1"/>
          <w:sz w:val="20"/>
          <w:szCs w:val="20"/>
        </w:rPr>
        <w:t>OCDE</w:t>
      </w:r>
      <w:bookmarkEnd w:id="4"/>
      <w:r w:rsidRPr="00160081">
        <w:rPr>
          <w:rFonts w:eastAsia="Avenir Book" w:cstheme="minorHAnsi"/>
          <w:color w:val="000000" w:themeColor="text1"/>
          <w:sz w:val="20"/>
          <w:szCs w:val="20"/>
        </w:rPr>
        <w:t>) y el Centro Interamericano de Administraciones Tributarias (CIAT), el SRI busca fortalecer su capacidad de gestión de riesgos de incumplimiento. Actualmente, la identificación y tratamiento de riesgos se realiza de forma parcial y a menudo manual, limitando la eficiencia y cobertura de las acciones de control. Se requiere una plataforma tecnológica integral que sistematice el Ciclo de Gestión de Riesgos Tributarios (OCDE/CIAT): Identificación, Análisis/Evaluación, Tratamiento, y Monitoreo/Revisión.</w:t>
      </w:r>
    </w:p>
    <w:p w14:paraId="1E2BC58F" w14:textId="77777777" w:rsidR="00CA02A6" w:rsidRDefault="00CA02A6" w:rsidP="00160081">
      <w:pPr>
        <w:jc w:val="both"/>
        <w:rPr>
          <w:rFonts w:cstheme="minorHAnsi"/>
          <w:b/>
          <w:bCs/>
          <w:sz w:val="20"/>
          <w:szCs w:val="20"/>
        </w:rPr>
      </w:pPr>
    </w:p>
    <w:p w14:paraId="5763B618" w14:textId="1F47BD09" w:rsidR="00160081" w:rsidRPr="00160081" w:rsidRDefault="00160081" w:rsidP="00160081">
      <w:pPr>
        <w:jc w:val="both"/>
        <w:rPr>
          <w:rFonts w:cstheme="minorHAnsi"/>
          <w:b/>
          <w:bCs/>
          <w:sz w:val="20"/>
          <w:szCs w:val="20"/>
        </w:rPr>
      </w:pPr>
      <w:r w:rsidRPr="00160081">
        <w:rPr>
          <w:rFonts w:cstheme="minorHAnsi"/>
          <w:b/>
          <w:bCs/>
          <w:sz w:val="20"/>
          <w:szCs w:val="20"/>
        </w:rPr>
        <w:t>Alineación con el Modelo de Gestión de Cumplimiento Tributario (MGCT)</w:t>
      </w:r>
    </w:p>
    <w:p w14:paraId="69FF5DF5" w14:textId="77777777" w:rsidR="00160081" w:rsidRPr="00160081" w:rsidRDefault="00160081" w:rsidP="00160081">
      <w:pPr>
        <w:jc w:val="both"/>
        <w:rPr>
          <w:rFonts w:cstheme="minorHAnsi"/>
          <w:sz w:val="20"/>
          <w:szCs w:val="20"/>
        </w:rPr>
      </w:pPr>
      <w:r w:rsidRPr="00160081">
        <w:rPr>
          <w:rFonts w:cstheme="minorHAnsi"/>
          <w:sz w:val="20"/>
          <w:szCs w:val="20"/>
        </w:rPr>
        <w:t xml:space="preserve">En enero de 2023, el Fondo Monetario Internacional en conjunto con el Banco Interamericano de Desarrollo, emitieron el “Informe de Evaluación del Desempeño” del sistema de administración tributaria del Servicio de Rentas Internas, utilizando la herramienta de evaluación y diagnóstico de la administración tributaria (TADAT), el cual proporcionó una base de referencia de evaluación del desempeño de esta Administración Tributaria a ser utilizada para determinar las prioridades de las reformas y, con evaluaciones sucesivas, resaltar los logros de dichas reformas. </w:t>
      </w:r>
    </w:p>
    <w:p w14:paraId="7FF61440" w14:textId="77777777" w:rsidR="00160081" w:rsidRPr="00160081" w:rsidRDefault="00160081" w:rsidP="00160081">
      <w:pPr>
        <w:jc w:val="both"/>
        <w:rPr>
          <w:rFonts w:cstheme="minorHAnsi"/>
          <w:sz w:val="20"/>
          <w:szCs w:val="20"/>
        </w:rPr>
      </w:pPr>
      <w:r w:rsidRPr="00160081">
        <w:rPr>
          <w:rFonts w:cstheme="minorHAnsi"/>
          <w:sz w:val="20"/>
          <w:szCs w:val="20"/>
        </w:rPr>
        <w:t>La metodología empleada para la evaluación en el Informe se enfocó en cómo esta Administración Tributaria alineó sus procesos para mejorar el cumplimiento tributario de los sujetos pasivos, arrojando resultados de desempeño insuficiente o que cumple con los estándares mínimos respecto de los siguientes indicadores:</w:t>
      </w:r>
    </w:p>
    <w:p w14:paraId="5FEA298A" w14:textId="77777777" w:rsidR="00160081" w:rsidRPr="00160081" w:rsidRDefault="00160081" w:rsidP="00160081">
      <w:pPr>
        <w:numPr>
          <w:ilvl w:val="0"/>
          <w:numId w:val="129"/>
        </w:numPr>
        <w:tabs>
          <w:tab w:val="clear" w:pos="720"/>
          <w:tab w:val="num" w:pos="2160"/>
        </w:tabs>
        <w:suppressAutoHyphens/>
        <w:spacing w:after="0" w:line="276" w:lineRule="auto"/>
        <w:jc w:val="both"/>
        <w:rPr>
          <w:rFonts w:cstheme="minorHAnsi"/>
          <w:sz w:val="20"/>
          <w:szCs w:val="20"/>
        </w:rPr>
      </w:pPr>
      <w:r w:rsidRPr="00160081">
        <w:rPr>
          <w:rFonts w:cstheme="minorHAnsi"/>
          <w:sz w:val="20"/>
          <w:szCs w:val="20"/>
        </w:rPr>
        <w:t>Seguimiento mínimo a la implementación de las medidas de mitigación de riesgos a través de un plan de mejora de cumplimiento.</w:t>
      </w:r>
    </w:p>
    <w:p w14:paraId="35487165" w14:textId="77777777" w:rsidR="00160081" w:rsidRPr="00160081" w:rsidRDefault="00160081" w:rsidP="00160081">
      <w:pPr>
        <w:numPr>
          <w:ilvl w:val="0"/>
          <w:numId w:val="129"/>
        </w:numPr>
        <w:tabs>
          <w:tab w:val="clear" w:pos="720"/>
          <w:tab w:val="num" w:pos="1440"/>
        </w:tabs>
        <w:suppressAutoHyphens/>
        <w:spacing w:after="0" w:line="276" w:lineRule="auto"/>
        <w:jc w:val="both"/>
        <w:rPr>
          <w:rFonts w:cstheme="minorHAnsi"/>
          <w:sz w:val="20"/>
          <w:szCs w:val="20"/>
        </w:rPr>
      </w:pPr>
      <w:r w:rsidRPr="00160081">
        <w:rPr>
          <w:rFonts w:cstheme="minorHAnsi"/>
          <w:sz w:val="20"/>
          <w:szCs w:val="20"/>
        </w:rPr>
        <w:t>Monitoreo y evaluación de las actividades de mitigación de riesgos de cumplimiento que cumple con los estándares mínimos.</w:t>
      </w:r>
    </w:p>
    <w:p w14:paraId="3732F680" w14:textId="77777777" w:rsidR="00160081" w:rsidRPr="00160081" w:rsidRDefault="00160081" w:rsidP="00160081">
      <w:pPr>
        <w:numPr>
          <w:ilvl w:val="0"/>
          <w:numId w:val="129"/>
        </w:numPr>
        <w:tabs>
          <w:tab w:val="clear" w:pos="720"/>
          <w:tab w:val="num" w:pos="1440"/>
        </w:tabs>
        <w:suppressAutoHyphens/>
        <w:spacing w:after="0" w:line="276" w:lineRule="auto"/>
        <w:jc w:val="both"/>
        <w:rPr>
          <w:rFonts w:cstheme="minorHAnsi"/>
          <w:sz w:val="20"/>
          <w:szCs w:val="20"/>
        </w:rPr>
      </w:pPr>
      <w:r w:rsidRPr="00160081">
        <w:rPr>
          <w:rFonts w:cstheme="minorHAnsi"/>
          <w:sz w:val="20"/>
          <w:szCs w:val="20"/>
        </w:rPr>
        <w:t>Alcance de las actuaciones de verificación realizadas para detectar y disuadir la inexactitud de la información declarada (especialmente en la evaluación de impacto en el cumplimiento tributario por aplicación de los procesos de auditoría tributaria y control de diferencias).</w:t>
      </w:r>
    </w:p>
    <w:p w14:paraId="358B606D" w14:textId="77777777" w:rsidR="00160081" w:rsidRPr="00160081" w:rsidRDefault="00160081" w:rsidP="00160081">
      <w:pPr>
        <w:jc w:val="both"/>
        <w:rPr>
          <w:rFonts w:cstheme="minorHAnsi"/>
          <w:sz w:val="20"/>
          <w:szCs w:val="20"/>
        </w:rPr>
      </w:pPr>
      <w:r w:rsidRPr="00160081">
        <w:rPr>
          <w:rFonts w:cstheme="minorHAnsi"/>
          <w:sz w:val="20"/>
          <w:szCs w:val="20"/>
        </w:rPr>
        <w:t>En función de la evaluación recibida, la Dirección General del Servicio de Rentas Internas, aprobó la Política: “Gestión del Cumplimiento Tributario” vigente desde noviembre de 2023, la cual estableció el Modelo de Gestión de Cumplimiento Tributario (MGCT) como herramienta que define las directrices para la estrategia institucional a fin de que los procesos institucionales se ejecuten en alineación con la gestión de obligaciones y de riesgos tributarios, a través de la priorización y la toma de decisiones.</w:t>
      </w:r>
    </w:p>
    <w:p w14:paraId="5B3F1F01" w14:textId="03DE89C6" w:rsidR="00160081" w:rsidRPr="00160081" w:rsidRDefault="00160081" w:rsidP="00160081">
      <w:pPr>
        <w:jc w:val="both"/>
        <w:rPr>
          <w:rFonts w:cstheme="minorHAnsi"/>
          <w:sz w:val="20"/>
          <w:szCs w:val="20"/>
        </w:rPr>
      </w:pPr>
      <w:r w:rsidRPr="00160081">
        <w:rPr>
          <w:rFonts w:cstheme="minorHAnsi"/>
          <w:sz w:val="20"/>
          <w:szCs w:val="20"/>
        </w:rPr>
        <w:t>Los principios del Modelo de Gestión para Cumplimiento Tributario (MGCT), abarcan entre otros:</w:t>
      </w:r>
    </w:p>
    <w:p w14:paraId="3C9ECF4C" w14:textId="77777777" w:rsidR="00160081" w:rsidRPr="00160081" w:rsidRDefault="00160081" w:rsidP="00160081">
      <w:pPr>
        <w:numPr>
          <w:ilvl w:val="0"/>
          <w:numId w:val="129"/>
        </w:numPr>
        <w:tabs>
          <w:tab w:val="clear" w:pos="720"/>
          <w:tab w:val="num" w:pos="1440"/>
        </w:tabs>
        <w:suppressAutoHyphens/>
        <w:spacing w:after="0" w:line="276" w:lineRule="auto"/>
        <w:jc w:val="both"/>
        <w:rPr>
          <w:rFonts w:cstheme="minorHAnsi"/>
          <w:sz w:val="20"/>
          <w:szCs w:val="20"/>
        </w:rPr>
      </w:pPr>
      <w:r w:rsidRPr="00160081">
        <w:rPr>
          <w:rFonts w:cstheme="minorHAnsi"/>
          <w:sz w:val="20"/>
          <w:szCs w:val="20"/>
        </w:rPr>
        <w:t>Asegurar el cumplimiento tributario voluntario mediante el desarrollo de la cultura tributaria e incremento de la percepción de riesgo en los ciudadanos y/o contribuyente.</w:t>
      </w:r>
    </w:p>
    <w:p w14:paraId="33835B18" w14:textId="77777777" w:rsidR="00160081" w:rsidRPr="00160081" w:rsidRDefault="00160081" w:rsidP="00160081">
      <w:pPr>
        <w:numPr>
          <w:ilvl w:val="0"/>
          <w:numId w:val="129"/>
        </w:numPr>
        <w:tabs>
          <w:tab w:val="clear" w:pos="720"/>
          <w:tab w:val="num" w:pos="1440"/>
        </w:tabs>
        <w:suppressAutoHyphens/>
        <w:spacing w:after="0" w:line="276" w:lineRule="auto"/>
        <w:jc w:val="both"/>
        <w:rPr>
          <w:rFonts w:cstheme="minorHAnsi"/>
          <w:sz w:val="20"/>
          <w:szCs w:val="20"/>
        </w:rPr>
      </w:pPr>
      <w:r w:rsidRPr="00160081">
        <w:rPr>
          <w:rFonts w:cstheme="minorHAnsi"/>
          <w:sz w:val="20"/>
          <w:szCs w:val="20"/>
        </w:rPr>
        <w:t>Simplicidad en los procesos institucionales para fomentar el cumplimiento voluntario y oportuno de las obligaciones por parte de los ciudadanos y/o contribuyentes.</w:t>
      </w:r>
    </w:p>
    <w:p w14:paraId="514A824E" w14:textId="77777777" w:rsidR="00160081" w:rsidRPr="00160081" w:rsidRDefault="00160081" w:rsidP="00160081">
      <w:pPr>
        <w:numPr>
          <w:ilvl w:val="0"/>
          <w:numId w:val="129"/>
        </w:numPr>
        <w:tabs>
          <w:tab w:val="clear" w:pos="720"/>
          <w:tab w:val="num" w:pos="1440"/>
        </w:tabs>
        <w:suppressAutoHyphens/>
        <w:spacing w:after="0" w:line="276" w:lineRule="auto"/>
        <w:jc w:val="both"/>
        <w:rPr>
          <w:rFonts w:cstheme="minorHAnsi"/>
          <w:sz w:val="20"/>
          <w:szCs w:val="20"/>
        </w:rPr>
      </w:pPr>
      <w:r w:rsidRPr="00160081">
        <w:rPr>
          <w:rFonts w:cstheme="minorHAnsi"/>
          <w:sz w:val="20"/>
          <w:szCs w:val="20"/>
        </w:rPr>
        <w:t>Efectividad y firmeza contra el comportamiento fiscal agresivo: elusión, evasión y fraude tributario.</w:t>
      </w:r>
    </w:p>
    <w:p w14:paraId="4E150B7D" w14:textId="77777777" w:rsidR="00CA02A6" w:rsidRDefault="00CA02A6" w:rsidP="00160081">
      <w:pPr>
        <w:jc w:val="both"/>
        <w:rPr>
          <w:rFonts w:cstheme="minorHAnsi"/>
          <w:sz w:val="20"/>
          <w:szCs w:val="20"/>
        </w:rPr>
      </w:pPr>
    </w:p>
    <w:p w14:paraId="6E6BFC0E" w14:textId="0B581B1E" w:rsidR="00160081" w:rsidRPr="00160081" w:rsidRDefault="00160081" w:rsidP="00160081">
      <w:pPr>
        <w:jc w:val="both"/>
        <w:rPr>
          <w:rFonts w:cstheme="minorHAnsi"/>
          <w:sz w:val="20"/>
          <w:szCs w:val="20"/>
        </w:rPr>
      </w:pPr>
      <w:r w:rsidRPr="00160081">
        <w:rPr>
          <w:rFonts w:cstheme="minorHAnsi"/>
          <w:sz w:val="20"/>
          <w:szCs w:val="20"/>
        </w:rPr>
        <w:t>De igual manera, esta Política establece que se efectuarán acciones de Evaluación del MGCT a los resultados de la Gestión de Cumplimiento Tributario a partir de los resultados de las acciones ejecutadas conforme los planes correspondientes, así como efectuar acciones para evaluar la mitigación de los riesgos de incumplimiento tributario, su efectividad y eficiencia en cada una de sus etapas, desde la identificación de riesgos hasta la ejecución de los tratamientos.</w:t>
      </w:r>
    </w:p>
    <w:p w14:paraId="3FB19D6C" w14:textId="77777777" w:rsidR="00160081" w:rsidRPr="00160081" w:rsidRDefault="00160081" w:rsidP="00160081">
      <w:pPr>
        <w:ind w:left="284"/>
        <w:jc w:val="both"/>
        <w:rPr>
          <w:rFonts w:cstheme="minorHAnsi"/>
          <w:sz w:val="20"/>
          <w:szCs w:val="20"/>
        </w:rPr>
      </w:pPr>
    </w:p>
    <w:p w14:paraId="1BF10749" w14:textId="77777777" w:rsidR="00160081" w:rsidRPr="00160081" w:rsidRDefault="00160081" w:rsidP="00160081">
      <w:pPr>
        <w:jc w:val="both"/>
        <w:rPr>
          <w:rFonts w:cstheme="minorHAnsi"/>
          <w:sz w:val="20"/>
          <w:szCs w:val="20"/>
        </w:rPr>
      </w:pPr>
      <w:r w:rsidRPr="00160081">
        <w:rPr>
          <w:rFonts w:cstheme="minorHAnsi"/>
          <w:sz w:val="20"/>
          <w:szCs w:val="20"/>
        </w:rPr>
        <w:t>Adicionalmente, la Política establece que:</w:t>
      </w:r>
    </w:p>
    <w:p w14:paraId="1405348A" w14:textId="77777777" w:rsidR="00160081" w:rsidRPr="00160081" w:rsidRDefault="00160081" w:rsidP="00160081">
      <w:pPr>
        <w:jc w:val="both"/>
        <w:rPr>
          <w:rFonts w:cstheme="minorHAnsi"/>
          <w:i/>
          <w:iCs/>
          <w:sz w:val="20"/>
          <w:szCs w:val="20"/>
        </w:rPr>
      </w:pPr>
      <w:r w:rsidRPr="00160081">
        <w:rPr>
          <w:rFonts w:cstheme="minorHAnsi"/>
          <w:i/>
          <w:iCs/>
          <w:sz w:val="20"/>
          <w:szCs w:val="20"/>
        </w:rPr>
        <w:t>“La gestión de riesgos tributarios es continua, por lo que se deberá obtener retroalimentación periódica –evaluar los resultados o eficacia del tratamiento aplicado– para adoptar futuras decisiones.”</w:t>
      </w:r>
    </w:p>
    <w:p w14:paraId="47D09013" w14:textId="77777777" w:rsidR="00160081" w:rsidRPr="00160081" w:rsidRDefault="00160081" w:rsidP="00160081">
      <w:pPr>
        <w:jc w:val="both"/>
        <w:rPr>
          <w:rFonts w:cstheme="minorHAnsi"/>
          <w:sz w:val="20"/>
          <w:szCs w:val="20"/>
        </w:rPr>
      </w:pPr>
      <w:r w:rsidRPr="00160081">
        <w:rPr>
          <w:rFonts w:cstheme="minorHAnsi"/>
          <w:sz w:val="20"/>
          <w:szCs w:val="20"/>
        </w:rPr>
        <w:t>En ejercicio de las facultades conferidas por la normativa vigente, esta Administración Tributaria ejecuta actos, entre otros, la determinación de la obligación tributaria, la resolución de los reclamos y los recursos de los sujetos pasivos.</w:t>
      </w:r>
    </w:p>
    <w:p w14:paraId="114025DD" w14:textId="77777777" w:rsidR="00160081" w:rsidRPr="00160081" w:rsidRDefault="00160081" w:rsidP="00160081">
      <w:pPr>
        <w:jc w:val="both"/>
        <w:rPr>
          <w:rFonts w:cstheme="minorHAnsi"/>
          <w:sz w:val="20"/>
          <w:szCs w:val="20"/>
        </w:rPr>
      </w:pPr>
      <w:r w:rsidRPr="00160081">
        <w:rPr>
          <w:rFonts w:cstheme="minorHAnsi"/>
          <w:sz w:val="20"/>
          <w:szCs w:val="20"/>
        </w:rPr>
        <w:t>Cuando los sujetos pasivos, se consideren afectados en todo o en parte por los actos de administración tributaria mencionados y para resolver las controversias existentes, la jurisdicción contenciosa tributaria o el Recurso de Casación pueden conocer y resolver mediante sentencia judicial, las acciones de impugnación propuestas por los contribuyentes.</w:t>
      </w:r>
    </w:p>
    <w:p w14:paraId="4940E77C" w14:textId="77777777" w:rsidR="00160081" w:rsidRPr="00160081" w:rsidRDefault="00160081" w:rsidP="00160081">
      <w:pPr>
        <w:jc w:val="both"/>
        <w:rPr>
          <w:rFonts w:cstheme="minorHAnsi"/>
          <w:sz w:val="20"/>
          <w:szCs w:val="20"/>
        </w:rPr>
      </w:pPr>
      <w:r w:rsidRPr="00160081">
        <w:rPr>
          <w:rFonts w:cstheme="minorHAnsi"/>
          <w:sz w:val="20"/>
          <w:szCs w:val="20"/>
        </w:rPr>
        <w:t>De la información disponible en las bases de información de esta administración tributaria, se pudo advertir recientemente que, dependiendo de la Dirección Zonal, el Servicio de Rentas Internas pierde en contra de los sujetos pasivos, aproximadamente entre el 20% al 60% de los juicios tributarios, desconociéndose las causas por las cuales existe esta dispersión, lo cual impide la evaluación de los resultados o eficacia de los tratamientos aplicados a los riesgos tributarios.</w:t>
      </w:r>
    </w:p>
    <w:p w14:paraId="6A11ACBE" w14:textId="77777777" w:rsidR="00160081" w:rsidRPr="00160081" w:rsidRDefault="00160081" w:rsidP="00160081">
      <w:pPr>
        <w:jc w:val="both"/>
        <w:rPr>
          <w:rFonts w:cstheme="minorHAnsi"/>
          <w:sz w:val="20"/>
          <w:szCs w:val="20"/>
        </w:rPr>
      </w:pPr>
      <w:r w:rsidRPr="00160081">
        <w:rPr>
          <w:rFonts w:cstheme="minorHAnsi"/>
          <w:sz w:val="20"/>
          <w:szCs w:val="20"/>
        </w:rPr>
        <w:t>De igual manera, la ejecución de los actos de la administración tributaria abarcan varios procesos institucionales que inician desde: el de gestión de obligaciones tributarias, el de gestión de los riesgos tributarios, el de control de diferencias, el de auditoría tributaría, el de gestión de devolución de impuestos, el de gestión de reclamos, el de gestión de recursos de revisión, el de gestión de cobro, hasta el de gestión de los procesos judiciales tributarios ante la jurisdicción contenciosa tributaria o el recurso de casación.</w:t>
      </w:r>
    </w:p>
    <w:p w14:paraId="477FF4AF" w14:textId="77777777" w:rsidR="00160081" w:rsidRPr="00160081" w:rsidRDefault="00160081" w:rsidP="00160081">
      <w:pPr>
        <w:jc w:val="both"/>
        <w:rPr>
          <w:rFonts w:cstheme="minorHAnsi"/>
          <w:sz w:val="20"/>
          <w:szCs w:val="20"/>
        </w:rPr>
      </w:pPr>
      <w:r w:rsidRPr="00160081">
        <w:rPr>
          <w:rFonts w:cstheme="minorHAnsi"/>
          <w:sz w:val="20"/>
          <w:szCs w:val="20"/>
        </w:rPr>
        <w:t>En este sentido las causas mencionadas anteriormente, pueden generarse en uno o varios procesos donde se ejecuten los actos de la administración tributaria, varios de esos procesos institucionales no cuentan con un sistema propio o de contar con uno, los expedientes, actas, resoluciones y demás documentación que sustenten los actos administrativos, corresponde a información no estructurada, cuasi estructurada o de difícil consulta para posterior análisis y procesamiento masivo, lo que imposibilita su explotación y análisis con los recursos actuales de analítica de información, el conocimiento de las causas de riesgo mencionadas anteriormente, convirtiéndose en una problemática institucional el desconocimiento del por qué el Servicio de Rentas Internas solo gana entre el 40% al 80% de los juicios interpuestos por los sujetos pasivos, para aprovechar las mejores prácticas y de esta manera desarrollar mejoras a los procesos antes mencionados y orientar las acciones de esta administración hacia mejores resultados, logrando una mejor gestión de la política tributaria fortaleciendo el control de los impuestos con un enfoque de gestión de riesgos, conforme dicta la misión Institucional del Servicio de Rentas Internas (SRI).</w:t>
      </w:r>
    </w:p>
    <w:p w14:paraId="6C144B2B" w14:textId="77777777" w:rsidR="00160081" w:rsidRPr="00160081" w:rsidRDefault="00160081" w:rsidP="00160081">
      <w:pPr>
        <w:jc w:val="both"/>
        <w:rPr>
          <w:rFonts w:cstheme="minorHAnsi"/>
          <w:sz w:val="20"/>
          <w:szCs w:val="20"/>
        </w:rPr>
      </w:pPr>
      <w:r w:rsidRPr="00160081">
        <w:rPr>
          <w:rFonts w:cstheme="minorHAnsi"/>
          <w:sz w:val="20"/>
          <w:szCs w:val="20"/>
        </w:rPr>
        <w:t>El Servicio de Rentas Internas (SRI) en cumplimiento de sus objetivos estratégicos, busca fortalecer la eficiencia del sistema tributario mediante la gestión de riesgos, la optimización de procesos internos y la modernización de sus servicios institucionales. Esta transformación debe estar orientada a principios de interoperabilidad, escalabilidad y trazabilidad, con el fin de mejorar la gestión fiscal y facilitar el cumplimiento de las obligaciones tributarias por parte de los contribuyentes.</w:t>
      </w:r>
    </w:p>
    <w:p w14:paraId="48F7B43D" w14:textId="77777777"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 xml:space="preserve">En paralelo, la gestión documental (Gestión de Trámites y Archivo) requiere fortalecerse para garantizar la integridad, accesibilidad y preservación de la información institucional conforme a la </w:t>
      </w:r>
      <w:bookmarkStart w:id="5" w:name="OLE_LINK21"/>
      <w:bookmarkStart w:id="6" w:name="OLE_LINK20"/>
      <w:r w:rsidRPr="00160081">
        <w:rPr>
          <w:rFonts w:eastAsia="Avenir Book" w:cstheme="minorHAnsi"/>
          <w:color w:val="000000" w:themeColor="text1"/>
          <w:sz w:val="20"/>
          <w:szCs w:val="20"/>
        </w:rPr>
        <w:t>Ley Orgánica de Protección de Datos Personales (</w:t>
      </w:r>
      <w:bookmarkStart w:id="7" w:name="OLE_LINK17"/>
      <w:r w:rsidRPr="00160081">
        <w:rPr>
          <w:rFonts w:eastAsia="Avenir Book" w:cstheme="minorHAnsi"/>
          <w:color w:val="000000" w:themeColor="text1"/>
          <w:sz w:val="20"/>
          <w:szCs w:val="20"/>
        </w:rPr>
        <w:t>LOPDP</w:t>
      </w:r>
      <w:bookmarkEnd w:id="7"/>
      <w:r w:rsidRPr="00160081">
        <w:rPr>
          <w:rFonts w:eastAsia="Avenir Book" w:cstheme="minorHAnsi"/>
          <w:color w:val="000000" w:themeColor="text1"/>
          <w:sz w:val="20"/>
          <w:szCs w:val="20"/>
        </w:rPr>
        <w:t>)</w:t>
      </w:r>
      <w:bookmarkEnd w:id="5"/>
      <w:r w:rsidRPr="00160081">
        <w:rPr>
          <w:rFonts w:eastAsia="Avenir Book" w:cstheme="minorHAnsi"/>
          <w:color w:val="000000" w:themeColor="text1"/>
          <w:sz w:val="20"/>
          <w:szCs w:val="20"/>
        </w:rPr>
        <w:t xml:space="preserve">, </w:t>
      </w:r>
      <w:bookmarkEnd w:id="6"/>
      <w:r w:rsidRPr="00160081">
        <w:rPr>
          <w:rFonts w:eastAsia="Avenir Book" w:cstheme="minorHAnsi"/>
          <w:color w:val="000000" w:themeColor="text1"/>
          <w:sz w:val="20"/>
          <w:szCs w:val="20"/>
        </w:rPr>
        <w:t>Regla Técnica Nacional para la Organización y mantenimiento de los archivos públicos y los estándares nacionales de gobierno digital. Asimismo, en la actualidad no se cuenta con un componente que consolide un Expediente Integral del contribuyente, lo que implica que la verificación de trámites y documentos debe realizarse de manera dispersa a través de distintos aplicativos.</w:t>
      </w:r>
    </w:p>
    <w:p w14:paraId="2A60DFB8" w14:textId="77777777"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Frente a este contexto, el SRI requiere implementar una suite tecnológica integral que brinde soporte unificado a los procesos institucionales, bajo un modelo de arquitectura que:</w:t>
      </w:r>
    </w:p>
    <w:p w14:paraId="227C962C" w14:textId="1866A017" w:rsidR="00160081" w:rsidRPr="00160081" w:rsidRDefault="00160081" w:rsidP="00CA02A6">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 xml:space="preserve"> Integre las capacidades de automatización de procesos, gestión de reglas de negocio, administración documental, gestión integral de riesgos tributarios, gestión de trámites, gestión de archivo y forme un expediente integral del contribuyente.</w:t>
      </w:r>
    </w:p>
    <w:p w14:paraId="2099EA81"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Permita diseñar, ejecutar y monitorear procesos de manera transversal, con control y trazabilidad en tiempo real con un enfoque de mejora continua e innovación para la gestión por procesos institucional.</w:t>
      </w:r>
    </w:p>
    <w:p w14:paraId="4BC62C82"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Permita separar las decisiones institucionales (lógica de negocio) del código de las aplicaciones, permitiendo a los analistas de negocio y expertos tributarios gestionar, probar y desplegar reglas de forma autónoma, sin intervención del área de TI, garantizando consistencia, trazabilidad y cumplimiento normativo.</w:t>
      </w:r>
    </w:p>
    <w:p w14:paraId="0CA6424F"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Sistematice el Ciclo de Gestión de Riesgos Tributarios.</w:t>
      </w:r>
    </w:p>
    <w:p w14:paraId="614A8453"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Facilite la interoperabilidad con sistemas legados y el uso eficiente de la infraestructura tecnológica existente.</w:t>
      </w:r>
    </w:p>
    <w:p w14:paraId="02C343C4"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Asegure la autonomía institucional en la configuración, mantenimiento y evolución de los casos de uso, reduciendo la dependencia de contratistas externos.</w:t>
      </w:r>
    </w:p>
    <w:p w14:paraId="180B60FD" w14:textId="77777777" w:rsidR="00160081" w:rsidRPr="00160081" w:rsidRDefault="00160081" w:rsidP="00160081">
      <w:pPr>
        <w:pStyle w:val="Prrafodelista"/>
        <w:numPr>
          <w:ilvl w:val="0"/>
          <w:numId w:val="46"/>
        </w:numPr>
        <w:spacing w:after="0" w:line="240" w:lineRule="auto"/>
        <w:jc w:val="both"/>
        <w:rPr>
          <w:rFonts w:eastAsia="Avenir Book" w:cstheme="minorHAnsi"/>
          <w:color w:val="000000" w:themeColor="text1"/>
          <w:sz w:val="20"/>
          <w:szCs w:val="20"/>
        </w:rPr>
      </w:pPr>
      <w:r w:rsidRPr="00160081">
        <w:rPr>
          <w:rFonts w:eastAsia="Avenir Book" w:cstheme="minorHAnsi"/>
          <w:color w:val="000000" w:themeColor="text1"/>
          <w:sz w:val="20"/>
          <w:szCs w:val="20"/>
        </w:rPr>
        <w:t>Refuerce los mecanismos de integración y gobernanza, seguridad, cumplimiento normativo y protección de datos personales.</w:t>
      </w:r>
    </w:p>
    <w:p w14:paraId="079498E4" w14:textId="77777777"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 xml:space="preserve"> </w:t>
      </w:r>
    </w:p>
    <w:p w14:paraId="6ABA182D" w14:textId="77777777"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La implementación de esta suite tecnológica integral constituye una pieza central para fortalecer la gestión operativa del SRI, optimizar la ejecución de sus procesos administrativos y técnicos, y consolidar un marco institucional que garantice eficiencia, transparencia, trazabilidad y sostenibilidad operativa.</w:t>
      </w:r>
    </w:p>
    <w:p w14:paraId="003E5CC7" w14:textId="77777777" w:rsidR="00160081" w:rsidRPr="00160081" w:rsidRDefault="00160081" w:rsidP="00160081">
      <w:pPr>
        <w:jc w:val="both"/>
        <w:rPr>
          <w:rFonts w:cstheme="minorHAnsi"/>
          <w:sz w:val="20"/>
          <w:szCs w:val="20"/>
        </w:rPr>
      </w:pPr>
    </w:p>
    <w:p w14:paraId="7379FD61"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8" w:name="_Toc217326199"/>
      <w:r w:rsidRPr="00160081">
        <w:rPr>
          <w:rFonts w:asciiTheme="minorHAnsi" w:eastAsia="Times New Roman" w:hAnsiTheme="minorHAnsi" w:cstheme="minorHAnsi"/>
          <w:b/>
          <w:bCs/>
          <w:color w:val="auto"/>
          <w:sz w:val="20"/>
          <w:szCs w:val="20"/>
        </w:rPr>
        <w:t xml:space="preserve">Objetivos </w:t>
      </w:r>
      <w:bookmarkEnd w:id="8"/>
    </w:p>
    <w:p w14:paraId="29FA7032" w14:textId="77777777" w:rsidR="00160081" w:rsidRPr="00160081" w:rsidRDefault="00160081" w:rsidP="00160081">
      <w:pPr>
        <w:outlineLvl w:val="2"/>
        <w:rPr>
          <w:rFonts w:cstheme="minorHAnsi"/>
          <w:b/>
          <w:bCs/>
          <w:sz w:val="20"/>
          <w:szCs w:val="20"/>
        </w:rPr>
      </w:pPr>
    </w:p>
    <w:p w14:paraId="07AEFD11" w14:textId="77777777" w:rsidR="00160081" w:rsidRPr="00160081" w:rsidRDefault="00160081" w:rsidP="00160081">
      <w:pPr>
        <w:pStyle w:val="Ttulo2"/>
        <w:rPr>
          <w:rFonts w:asciiTheme="minorHAnsi" w:eastAsia="Times New Roman" w:hAnsiTheme="minorHAnsi" w:cstheme="minorHAnsi"/>
          <w:color w:val="000000" w:themeColor="text1"/>
          <w:sz w:val="20"/>
          <w:szCs w:val="20"/>
        </w:rPr>
      </w:pPr>
      <w:bookmarkStart w:id="9" w:name="_Toc217326200"/>
      <w:r w:rsidRPr="00160081">
        <w:rPr>
          <w:rFonts w:asciiTheme="minorHAnsi" w:eastAsia="Times New Roman" w:hAnsiTheme="minorHAnsi" w:cstheme="minorHAnsi"/>
          <w:b/>
          <w:bCs/>
          <w:color w:val="auto"/>
          <w:sz w:val="20"/>
          <w:szCs w:val="20"/>
        </w:rPr>
        <w:t>2.1 Objetivo General</w:t>
      </w:r>
      <w:bookmarkEnd w:id="9"/>
    </w:p>
    <w:p w14:paraId="5F2F32EA" w14:textId="77777777" w:rsidR="00160081" w:rsidRPr="00160081" w:rsidRDefault="00160081" w:rsidP="00160081">
      <w:pPr>
        <w:jc w:val="both"/>
        <w:rPr>
          <w:rFonts w:cstheme="minorHAnsi"/>
          <w:sz w:val="20"/>
          <w:szCs w:val="20"/>
        </w:rPr>
      </w:pPr>
    </w:p>
    <w:p w14:paraId="30C12EA0" w14:textId="77777777" w:rsidR="00160081" w:rsidRPr="00160081" w:rsidRDefault="00160081" w:rsidP="00160081">
      <w:pPr>
        <w:jc w:val="both"/>
        <w:rPr>
          <w:rFonts w:cstheme="minorHAnsi"/>
          <w:sz w:val="20"/>
          <w:szCs w:val="20"/>
        </w:rPr>
      </w:pPr>
      <w:r w:rsidRPr="00160081">
        <w:rPr>
          <w:rFonts w:cstheme="minorHAnsi"/>
          <w:sz w:val="20"/>
          <w:szCs w:val="20"/>
        </w:rPr>
        <w:t>Implementar una suite tecnológica integral que proporcione capacidades de automatización de procesos, gestión autónoma de reglas y decisiones de gestión de obligaciones tributarias, y administración documental, asegurando la trazabilidad, auditabilidad, seguridad y eficiencia operativa requeridas para fortalecer la gestión institucional y soportar la aplicación del Modelo de Gestión de Cumplimiento Tributario (MGCT).</w:t>
      </w:r>
    </w:p>
    <w:p w14:paraId="23576AA5" w14:textId="77777777" w:rsidR="00160081" w:rsidRPr="00160081" w:rsidRDefault="00160081" w:rsidP="00160081">
      <w:pPr>
        <w:jc w:val="both"/>
        <w:rPr>
          <w:rFonts w:cstheme="minorHAnsi"/>
          <w:sz w:val="20"/>
          <w:szCs w:val="20"/>
        </w:rPr>
      </w:pPr>
      <w:r w:rsidRPr="00160081">
        <w:rPr>
          <w:rFonts w:cstheme="minorHAnsi"/>
          <w:sz w:val="20"/>
          <w:szCs w:val="20"/>
        </w:rPr>
        <w:t>La suite permitirá habilitar y poner en operación tres proyectos estratégicos del SRI: (i) Sistema Integrado de Automatización de Procesos (SIAP), (</w:t>
      </w:r>
      <w:proofErr w:type="spellStart"/>
      <w:r w:rsidRPr="00160081">
        <w:rPr>
          <w:rFonts w:cstheme="minorHAnsi"/>
          <w:sz w:val="20"/>
          <w:szCs w:val="20"/>
        </w:rPr>
        <w:t>ii</w:t>
      </w:r>
      <w:proofErr w:type="spellEnd"/>
      <w:r w:rsidRPr="00160081">
        <w:rPr>
          <w:rFonts w:cstheme="minorHAnsi"/>
          <w:sz w:val="20"/>
          <w:szCs w:val="20"/>
        </w:rPr>
        <w:t>) Gestión Integral de Riesgos Tributarios (GIRT), y (</w:t>
      </w:r>
      <w:proofErr w:type="spellStart"/>
      <w:r w:rsidRPr="00160081">
        <w:rPr>
          <w:rFonts w:cstheme="minorHAnsi"/>
          <w:sz w:val="20"/>
          <w:szCs w:val="20"/>
        </w:rPr>
        <w:t>iii</w:t>
      </w:r>
      <w:proofErr w:type="spellEnd"/>
      <w:r w:rsidRPr="00160081">
        <w:rPr>
          <w:rFonts w:cstheme="minorHAnsi"/>
          <w:sz w:val="20"/>
          <w:szCs w:val="20"/>
        </w:rPr>
        <w:t>) Gestión Documental y Expediente Integral (GDYEI).</w:t>
      </w:r>
    </w:p>
    <w:p w14:paraId="6BA2F1AA" w14:textId="77777777" w:rsidR="00160081" w:rsidRPr="00160081" w:rsidRDefault="00160081" w:rsidP="00160081">
      <w:pPr>
        <w:outlineLvl w:val="1"/>
        <w:rPr>
          <w:rFonts w:cstheme="minorHAnsi"/>
          <w:sz w:val="20"/>
          <w:szCs w:val="20"/>
        </w:rPr>
      </w:pPr>
    </w:p>
    <w:p w14:paraId="651DE9A9" w14:textId="77777777" w:rsidR="00160081" w:rsidRPr="00160081" w:rsidRDefault="00160081" w:rsidP="00160081">
      <w:pPr>
        <w:pStyle w:val="Ttulo2"/>
        <w:rPr>
          <w:rFonts w:asciiTheme="minorHAnsi" w:eastAsia="Times New Roman" w:hAnsiTheme="minorHAnsi" w:cstheme="minorHAnsi"/>
          <w:b/>
          <w:bCs/>
          <w:color w:val="auto"/>
          <w:sz w:val="20"/>
          <w:szCs w:val="20"/>
        </w:rPr>
      </w:pPr>
      <w:bookmarkStart w:id="10" w:name="_Toc217326201"/>
      <w:r w:rsidRPr="00160081">
        <w:rPr>
          <w:rFonts w:asciiTheme="minorHAnsi" w:eastAsia="Times New Roman" w:hAnsiTheme="minorHAnsi" w:cstheme="minorHAnsi"/>
          <w:b/>
          <w:bCs/>
          <w:color w:val="auto"/>
          <w:sz w:val="20"/>
          <w:szCs w:val="20"/>
        </w:rPr>
        <w:t>2.2 Objetivos Específicos</w:t>
      </w:r>
      <w:bookmarkEnd w:id="10"/>
    </w:p>
    <w:p w14:paraId="4799EF9B" w14:textId="77777777" w:rsidR="00160081" w:rsidRPr="00160081" w:rsidRDefault="00160081" w:rsidP="00160081">
      <w:pPr>
        <w:rPr>
          <w:rFonts w:cstheme="minorHAnsi"/>
          <w:sz w:val="20"/>
          <w:szCs w:val="20"/>
        </w:rPr>
      </w:pPr>
    </w:p>
    <w:p w14:paraId="7789E6C5"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Contar con una plataforma transversal de automatización que permita modelar/ diseñar, ejecutar, controlar y optimizar los procesos institucionales en el marco del Sistema Integrado de Automatización de Procesos, asegurando su estandarización, trazabilidad y mejora continua.</w:t>
      </w:r>
    </w:p>
    <w:p w14:paraId="00670F21"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Incorporar capacidades avanzadas de análisis y gestión de reglas y decisiones, para soportar el proceso de definiciones de gestión de obligaciones tributarias y la adaptación oportuna a cambios normativos.</w:t>
      </w:r>
    </w:p>
    <w:p w14:paraId="0CBC0656"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 xml:space="preserve">Implementar un gestor documental y expediente electrónico institucional que garantice integridad, clasificación, preservación, seguridad y cumplimiento con la </w:t>
      </w:r>
      <w:bookmarkStart w:id="11" w:name="OLE_LINK13"/>
      <w:bookmarkStart w:id="12" w:name="OLE_LINK14"/>
      <w:r w:rsidRPr="00160081">
        <w:rPr>
          <w:rFonts w:cstheme="minorHAnsi"/>
          <w:sz w:val="20"/>
          <w:szCs w:val="20"/>
        </w:rPr>
        <w:t>LOPDP</w:t>
      </w:r>
      <w:bookmarkEnd w:id="11"/>
      <w:bookmarkEnd w:id="12"/>
      <w:r w:rsidRPr="00160081">
        <w:rPr>
          <w:rFonts w:cstheme="minorHAnsi"/>
          <w:sz w:val="20"/>
          <w:szCs w:val="20"/>
        </w:rPr>
        <w:t xml:space="preserve"> y políticas archivísticas, habilitando</w:t>
      </w:r>
      <w:r w:rsidRPr="00160081">
        <w:rPr>
          <w:rFonts w:cstheme="minorHAnsi"/>
          <w:color w:val="000000"/>
          <w:sz w:val="20"/>
          <w:szCs w:val="20"/>
        </w:rPr>
        <w:t xml:space="preserve"> el </w:t>
      </w:r>
      <w:r w:rsidRPr="00160081">
        <w:rPr>
          <w:rFonts w:cstheme="minorHAnsi"/>
          <w:sz w:val="20"/>
          <w:szCs w:val="20"/>
        </w:rPr>
        <w:t xml:space="preserve">ECM </w:t>
      </w:r>
      <w:bookmarkStart w:id="13" w:name="OLE_LINK34"/>
      <w:r w:rsidRPr="00160081">
        <w:rPr>
          <w:rFonts w:cstheme="minorHAnsi"/>
          <w:sz w:val="20"/>
          <w:szCs w:val="20"/>
        </w:rPr>
        <w:t>(</w:t>
      </w:r>
      <w:r w:rsidRPr="00160081">
        <w:rPr>
          <w:rFonts w:cstheme="minorHAnsi"/>
          <w:color w:val="000000"/>
          <w:sz w:val="20"/>
          <w:szCs w:val="20"/>
        </w:rPr>
        <w:t>Enterprise Content Management)</w:t>
      </w:r>
      <w:bookmarkEnd w:id="13"/>
      <w:r w:rsidRPr="00160081">
        <w:rPr>
          <w:rFonts w:cstheme="minorHAnsi"/>
          <w:color w:val="000000"/>
          <w:sz w:val="20"/>
          <w:szCs w:val="20"/>
        </w:rPr>
        <w:t xml:space="preserve"> </w:t>
      </w:r>
      <w:r w:rsidRPr="00160081">
        <w:rPr>
          <w:rFonts w:cstheme="minorHAnsi"/>
          <w:sz w:val="20"/>
          <w:szCs w:val="20"/>
        </w:rPr>
        <w:t>como repositorio único y auditable.</w:t>
      </w:r>
    </w:p>
    <w:p w14:paraId="244BBE34"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Diseñar e implementar un flujo automatizado para el ingreso de trámites, que permita la asignación automática de responsables, garantice la trazabilidad en cada etapa del proceso y genere desde el inicio un expediente digital completo del trámite, asegurando transparencia y eficiencia en la gestión administrativa.</w:t>
      </w:r>
    </w:p>
    <w:p w14:paraId="08CC9226"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Establecer un sistema automatizado de organización y conservación documental que facilite la clasificación, resguardo y recuperación de archivos, asegurando la integridad, seguridad y disponibilidad de la información institucional.</w:t>
      </w:r>
    </w:p>
    <w:p w14:paraId="2B0F680D"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Asegurar interoperabilidad entre la suite, los sistemas legados y las plataformas institucionales, garantizando continuidad operativa, consistencia de datos y evitando duplicidades o fricciones técnicas.</w:t>
      </w:r>
    </w:p>
    <w:p w14:paraId="09178B50"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 xml:space="preserve">Fortalecer la autonomía institucional para diseñar y desplegar nuevos procesos, reglas de decisión y expedientes mediante herramientas </w:t>
      </w:r>
      <w:proofErr w:type="spellStart"/>
      <w:r w:rsidRPr="00160081">
        <w:rPr>
          <w:rFonts w:cstheme="minorHAnsi"/>
          <w:sz w:val="20"/>
          <w:szCs w:val="20"/>
        </w:rPr>
        <w:t>low-code</w:t>
      </w:r>
      <w:proofErr w:type="spellEnd"/>
      <w:r w:rsidRPr="00160081">
        <w:rPr>
          <w:rFonts w:cstheme="minorHAnsi"/>
          <w:sz w:val="20"/>
          <w:szCs w:val="20"/>
        </w:rPr>
        <w:t>/no-</w:t>
      </w:r>
      <w:proofErr w:type="spellStart"/>
      <w:r w:rsidRPr="00160081">
        <w:rPr>
          <w:rFonts w:cstheme="minorHAnsi"/>
          <w:sz w:val="20"/>
          <w:szCs w:val="20"/>
        </w:rPr>
        <w:t>code</w:t>
      </w:r>
      <w:proofErr w:type="spellEnd"/>
      <w:r w:rsidRPr="00160081">
        <w:rPr>
          <w:rFonts w:cstheme="minorHAnsi"/>
          <w:sz w:val="20"/>
          <w:szCs w:val="20"/>
        </w:rPr>
        <w:t>, capacidades de configuración parametrizable y transferencia de conocimiento estructurada.</w:t>
      </w:r>
    </w:p>
    <w:p w14:paraId="674829F4"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Garantizar trazabilidad, seguridad y control institucional en cada decisión, proceso y documento gestionado por la suite, mediante mecanismos de auditoría, versionado y control de cambios.</w:t>
      </w:r>
    </w:p>
    <w:p w14:paraId="567E6C70"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Asegurar sostenibilidad técnica y operativa, incorporando prácticas de gestión de cambios, soporte evolutivo, reutilización de componentes, escalabilidad y estandarización tecnológica para los tres proyectos habilitados.</w:t>
      </w:r>
    </w:p>
    <w:p w14:paraId="4B12F155"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Automatizar la identificación y priorización de riesgos tributarios en las cuatro categorías de la obligación tributaria (Inscripción, Presentación, Pago y Veracidad).</w:t>
      </w:r>
    </w:p>
    <w:p w14:paraId="30C13241"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Proporcionar herramientas de </w:t>
      </w:r>
      <w:proofErr w:type="spellStart"/>
      <w:proofErr w:type="gramStart"/>
      <w:r w:rsidRPr="00160081">
        <w:rPr>
          <w:rFonts w:cstheme="minorHAnsi"/>
          <w:sz w:val="20"/>
          <w:szCs w:val="20"/>
        </w:rPr>
        <w:t>business</w:t>
      </w:r>
      <w:proofErr w:type="spellEnd"/>
      <w:r w:rsidRPr="00160081">
        <w:rPr>
          <w:rFonts w:cstheme="minorHAnsi"/>
          <w:sz w:val="20"/>
          <w:szCs w:val="20"/>
        </w:rPr>
        <w:t xml:space="preserve"> </w:t>
      </w:r>
      <w:proofErr w:type="spellStart"/>
      <w:r w:rsidRPr="00160081">
        <w:rPr>
          <w:rFonts w:cstheme="minorHAnsi"/>
          <w:sz w:val="20"/>
          <w:szCs w:val="20"/>
        </w:rPr>
        <w:t>intelligence</w:t>
      </w:r>
      <w:proofErr w:type="spellEnd"/>
      <w:proofErr w:type="gramEnd"/>
      <w:r w:rsidRPr="00160081">
        <w:rPr>
          <w:rFonts w:cstheme="minorHAnsi"/>
          <w:sz w:val="20"/>
          <w:szCs w:val="20"/>
        </w:rPr>
        <w:t> para soportar las decisiones estratégicas y tácticas de priorización y el monitoreo continuo de los riesgos tributarios e indicadores de cumplimiento.</w:t>
      </w:r>
    </w:p>
    <w:p w14:paraId="7EB1C26C"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Facilitar la definición y programación de estrategias de tratamiento diferenciadas (facilitación, auditoría, cobranza, etc.) para cada segmento de riesgo tributario.</w:t>
      </w:r>
    </w:p>
    <w:p w14:paraId="047CAF23"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Proporcionar herramientas de </w:t>
      </w:r>
      <w:proofErr w:type="spellStart"/>
      <w:proofErr w:type="gramStart"/>
      <w:r w:rsidRPr="00160081">
        <w:rPr>
          <w:rFonts w:cstheme="minorHAnsi"/>
          <w:sz w:val="20"/>
          <w:szCs w:val="20"/>
        </w:rPr>
        <w:t>business</w:t>
      </w:r>
      <w:proofErr w:type="spellEnd"/>
      <w:r w:rsidRPr="00160081">
        <w:rPr>
          <w:rFonts w:cstheme="minorHAnsi"/>
          <w:sz w:val="20"/>
          <w:szCs w:val="20"/>
        </w:rPr>
        <w:t xml:space="preserve"> </w:t>
      </w:r>
      <w:proofErr w:type="spellStart"/>
      <w:r w:rsidRPr="00160081">
        <w:rPr>
          <w:rFonts w:cstheme="minorHAnsi"/>
          <w:sz w:val="20"/>
          <w:szCs w:val="20"/>
        </w:rPr>
        <w:t>intelligence</w:t>
      </w:r>
      <w:proofErr w:type="spellEnd"/>
      <w:proofErr w:type="gramEnd"/>
      <w:r w:rsidRPr="00160081">
        <w:rPr>
          <w:rFonts w:cstheme="minorHAnsi"/>
          <w:sz w:val="20"/>
          <w:szCs w:val="20"/>
        </w:rPr>
        <w:t> para el monitoreo continuo de los riesgos tributarios e indicadores de cumplimiento.</w:t>
      </w:r>
    </w:p>
    <w:p w14:paraId="3E57759B" w14:textId="77777777" w:rsidR="00160081" w:rsidRPr="00160081" w:rsidRDefault="00160081" w:rsidP="00160081">
      <w:pPr>
        <w:pStyle w:val="Prrafodelista"/>
        <w:numPr>
          <w:ilvl w:val="0"/>
          <w:numId w:val="51"/>
        </w:numPr>
        <w:spacing w:after="0" w:line="240" w:lineRule="auto"/>
        <w:jc w:val="both"/>
        <w:rPr>
          <w:rFonts w:cstheme="minorHAnsi"/>
          <w:sz w:val="20"/>
          <w:szCs w:val="20"/>
        </w:rPr>
      </w:pPr>
      <w:r w:rsidRPr="00160081">
        <w:rPr>
          <w:rFonts w:cstheme="minorHAnsi"/>
          <w:sz w:val="20"/>
          <w:szCs w:val="20"/>
        </w:rPr>
        <w:t>Asegurar la evaluación y retroalimentación del ciclo de gestión de riesgos tributarios, utilizando los resultados de las auditorías para refinar los modelos de riesgo.</w:t>
      </w:r>
    </w:p>
    <w:p w14:paraId="3C47955F" w14:textId="77777777" w:rsidR="00160081" w:rsidRPr="00160081" w:rsidRDefault="00160081" w:rsidP="00160081">
      <w:pPr>
        <w:outlineLvl w:val="0"/>
        <w:rPr>
          <w:rFonts w:cstheme="minorHAnsi"/>
          <w:b/>
          <w:bCs/>
          <w:kern w:val="36"/>
          <w:sz w:val="20"/>
          <w:szCs w:val="20"/>
        </w:rPr>
      </w:pPr>
    </w:p>
    <w:p w14:paraId="213A4417"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14" w:name="_Toc217326202"/>
      <w:r w:rsidRPr="00160081">
        <w:rPr>
          <w:rFonts w:asciiTheme="minorHAnsi" w:eastAsia="Times New Roman" w:hAnsiTheme="minorHAnsi" w:cstheme="minorHAnsi"/>
          <w:b/>
          <w:bCs/>
          <w:color w:val="auto"/>
          <w:sz w:val="20"/>
          <w:szCs w:val="20"/>
        </w:rPr>
        <w:t>Alcance</w:t>
      </w:r>
      <w:bookmarkEnd w:id="14"/>
    </w:p>
    <w:p w14:paraId="5352F362" w14:textId="77777777" w:rsidR="00160081" w:rsidRPr="00160081" w:rsidRDefault="00160081" w:rsidP="00160081">
      <w:pPr>
        <w:jc w:val="both"/>
        <w:outlineLvl w:val="0"/>
        <w:rPr>
          <w:rFonts w:cstheme="minorHAnsi"/>
          <w:kern w:val="36"/>
          <w:sz w:val="20"/>
          <w:szCs w:val="20"/>
        </w:rPr>
      </w:pPr>
    </w:p>
    <w:p w14:paraId="304FC5F4" w14:textId="77777777" w:rsidR="00160081" w:rsidRPr="00160081" w:rsidRDefault="00160081" w:rsidP="00160081">
      <w:pPr>
        <w:jc w:val="both"/>
        <w:rPr>
          <w:rFonts w:cstheme="minorHAnsi"/>
          <w:sz w:val="20"/>
          <w:szCs w:val="20"/>
        </w:rPr>
      </w:pPr>
      <w:r w:rsidRPr="00160081">
        <w:rPr>
          <w:rFonts w:cstheme="minorHAnsi"/>
          <w:sz w:val="20"/>
          <w:szCs w:val="20"/>
        </w:rPr>
        <w:t xml:space="preserve">La presente contratación comprende la implementación de </w:t>
      </w:r>
      <w:bookmarkStart w:id="15" w:name="OLE_LINK2"/>
      <w:r w:rsidRPr="00160081">
        <w:rPr>
          <w:rFonts w:cstheme="minorHAnsi"/>
          <w:sz w:val="20"/>
          <w:szCs w:val="20"/>
        </w:rPr>
        <w:t>una suite tecnológica integral</w:t>
      </w:r>
      <w:bookmarkEnd w:id="15"/>
      <w:r w:rsidRPr="00160081">
        <w:rPr>
          <w:rFonts w:cstheme="minorHAnsi"/>
          <w:sz w:val="20"/>
          <w:szCs w:val="20"/>
        </w:rPr>
        <w:t xml:space="preserve">, compuesta, entre otros, por los componentes de: automatización de procesos </w:t>
      </w:r>
      <w:bookmarkStart w:id="16" w:name="OLE_LINK22"/>
      <w:r w:rsidRPr="00160081">
        <w:rPr>
          <w:rFonts w:cstheme="minorHAnsi"/>
          <w:sz w:val="20"/>
          <w:szCs w:val="20"/>
        </w:rPr>
        <w:t>(BPMS</w:t>
      </w:r>
      <w:bookmarkEnd w:id="16"/>
      <w:r w:rsidRPr="00160081">
        <w:rPr>
          <w:rFonts w:cstheme="minorHAnsi"/>
          <w:sz w:val="20"/>
          <w:szCs w:val="20"/>
        </w:rPr>
        <w:t xml:space="preserve"> - </w:t>
      </w:r>
      <w:r w:rsidRPr="00160081">
        <w:rPr>
          <w:rFonts w:cstheme="minorHAnsi"/>
          <w:color w:val="000000"/>
          <w:sz w:val="20"/>
          <w:szCs w:val="20"/>
          <w:lang w:val="en-US"/>
        </w:rPr>
        <w:t>Business Process Management Suite</w:t>
      </w:r>
      <w:r w:rsidRPr="00160081">
        <w:rPr>
          <w:rFonts w:cstheme="minorHAnsi"/>
          <w:sz w:val="20"/>
          <w:szCs w:val="20"/>
        </w:rPr>
        <w:t>), gestión de reglas y decisiones (</w:t>
      </w:r>
      <w:r w:rsidRPr="00160081">
        <w:rPr>
          <w:rFonts w:cstheme="minorHAnsi"/>
          <w:color w:val="000000"/>
          <w:sz w:val="20"/>
          <w:szCs w:val="20"/>
          <w:lang w:val="en-US"/>
        </w:rPr>
        <w:t>BRMS - Business Rules Management System)</w:t>
      </w:r>
      <w:r w:rsidRPr="00160081">
        <w:rPr>
          <w:rFonts w:cstheme="minorHAnsi"/>
          <w:sz w:val="20"/>
          <w:szCs w:val="20"/>
        </w:rPr>
        <w:t xml:space="preserve">, </w:t>
      </w:r>
      <w:bookmarkStart w:id="17" w:name="OLE_LINK19"/>
      <w:r w:rsidRPr="00160081">
        <w:rPr>
          <w:rFonts w:cstheme="minorHAnsi"/>
          <w:sz w:val="20"/>
          <w:szCs w:val="20"/>
        </w:rPr>
        <w:t xml:space="preserve">gestión documental </w:t>
      </w:r>
      <w:bookmarkEnd w:id="17"/>
      <w:r w:rsidRPr="00160081">
        <w:rPr>
          <w:rFonts w:cstheme="minorHAnsi"/>
          <w:sz w:val="20"/>
          <w:szCs w:val="20"/>
        </w:rPr>
        <w:t xml:space="preserve">(ECM - </w:t>
      </w:r>
      <w:r w:rsidRPr="00160081">
        <w:rPr>
          <w:rFonts w:cstheme="minorHAnsi"/>
          <w:color w:val="000000"/>
          <w:sz w:val="20"/>
          <w:szCs w:val="20"/>
        </w:rPr>
        <w:t>Enterprise Content Management</w:t>
      </w:r>
      <w:r w:rsidRPr="00160081">
        <w:rPr>
          <w:rFonts w:cstheme="minorHAnsi"/>
          <w:sz w:val="20"/>
          <w:szCs w:val="20"/>
        </w:rPr>
        <w:t>), así como el Sistema de Gestión de Riesgos Tributarios (SGRT). Esta suite se constituye como la solución institucional requerida para ofrecer servicios transversales para automatización.</w:t>
      </w:r>
    </w:p>
    <w:p w14:paraId="1C2FB9E8" w14:textId="77777777" w:rsidR="00160081" w:rsidRPr="00160081" w:rsidRDefault="00160081" w:rsidP="00160081">
      <w:pPr>
        <w:jc w:val="both"/>
        <w:rPr>
          <w:rFonts w:cstheme="minorHAnsi"/>
          <w:sz w:val="20"/>
          <w:szCs w:val="20"/>
        </w:rPr>
      </w:pPr>
      <w:r w:rsidRPr="00160081">
        <w:rPr>
          <w:rFonts w:cstheme="minorHAnsi"/>
          <w:sz w:val="20"/>
          <w:szCs w:val="20"/>
        </w:rPr>
        <w:t xml:space="preserve">El alcance incluye la implementación completa de los siguientes casos de uso: </w:t>
      </w:r>
    </w:p>
    <w:p w14:paraId="6D080A29"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bookmarkStart w:id="18" w:name="OLE_LINK35"/>
      <w:r w:rsidRPr="00160081">
        <w:rPr>
          <w:rFonts w:cstheme="minorHAnsi"/>
          <w:sz w:val="20"/>
          <w:szCs w:val="20"/>
        </w:rPr>
        <w:t>Gestión de Obligaciones - Impuesto a la Renta (IR)</w:t>
      </w:r>
    </w:p>
    <w:p w14:paraId="687ABC9B"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 xml:space="preserve">Gestión de Obligaciones - </w:t>
      </w:r>
      <w:bookmarkStart w:id="19" w:name="OLE_LINK36"/>
      <w:r w:rsidRPr="00160081">
        <w:rPr>
          <w:rFonts w:cstheme="minorHAnsi"/>
          <w:sz w:val="20"/>
          <w:szCs w:val="20"/>
        </w:rPr>
        <w:t xml:space="preserve">Impuesto al Valor Agregado </w:t>
      </w:r>
      <w:bookmarkEnd w:id="19"/>
      <w:r w:rsidRPr="00160081">
        <w:rPr>
          <w:rFonts w:cstheme="minorHAnsi"/>
          <w:sz w:val="20"/>
          <w:szCs w:val="20"/>
        </w:rPr>
        <w:t xml:space="preserve">(IVA) </w:t>
      </w:r>
    </w:p>
    <w:p w14:paraId="47A26DEF"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Sistema de Gestión de Riesgos Tributarios - Impuesto a la Renta (IR)</w:t>
      </w:r>
    </w:p>
    <w:p w14:paraId="3D604BAE"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Sistema de Gestión de Riesgos Tributarios - Impuesto al Valor Agregado (IVA)</w:t>
      </w:r>
    </w:p>
    <w:bookmarkEnd w:id="18"/>
    <w:p w14:paraId="32443498"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Gestión de Sanciones</w:t>
      </w:r>
    </w:p>
    <w:p w14:paraId="7DA271A6"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Control de Veracidad</w:t>
      </w:r>
    </w:p>
    <w:p w14:paraId="5BEEE39D"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Gestión de Trámites</w:t>
      </w:r>
    </w:p>
    <w:p w14:paraId="769EF70B"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Gestión de Archivo</w:t>
      </w:r>
    </w:p>
    <w:p w14:paraId="4B78483F" w14:textId="77777777" w:rsidR="00160081" w:rsidRPr="00160081" w:rsidRDefault="00160081" w:rsidP="00160081">
      <w:pPr>
        <w:pStyle w:val="Prrafodelista"/>
        <w:numPr>
          <w:ilvl w:val="0"/>
          <w:numId w:val="118"/>
        </w:numPr>
        <w:spacing w:after="0" w:line="240" w:lineRule="auto"/>
        <w:jc w:val="both"/>
        <w:rPr>
          <w:rFonts w:cstheme="minorHAnsi"/>
          <w:sz w:val="20"/>
          <w:szCs w:val="20"/>
        </w:rPr>
      </w:pPr>
      <w:r w:rsidRPr="00160081">
        <w:rPr>
          <w:rFonts w:cstheme="minorHAnsi"/>
          <w:sz w:val="20"/>
          <w:szCs w:val="20"/>
        </w:rPr>
        <w:t>Expediente Integral del Contribuyente</w:t>
      </w:r>
    </w:p>
    <w:p w14:paraId="25078DDA" w14:textId="77777777" w:rsidR="00CA02A6" w:rsidRDefault="00CA02A6" w:rsidP="00160081">
      <w:pPr>
        <w:jc w:val="both"/>
        <w:rPr>
          <w:rFonts w:cstheme="minorHAnsi"/>
          <w:sz w:val="20"/>
          <w:szCs w:val="20"/>
        </w:rPr>
      </w:pPr>
    </w:p>
    <w:p w14:paraId="09968712" w14:textId="3418587D" w:rsidR="00160081" w:rsidRPr="00160081" w:rsidRDefault="00160081" w:rsidP="00160081">
      <w:pPr>
        <w:jc w:val="both"/>
        <w:rPr>
          <w:rFonts w:cstheme="minorHAnsi"/>
          <w:sz w:val="20"/>
          <w:szCs w:val="20"/>
        </w:rPr>
      </w:pPr>
      <w:r w:rsidRPr="00160081">
        <w:rPr>
          <w:rFonts w:cstheme="minorHAnsi"/>
          <w:sz w:val="20"/>
          <w:szCs w:val="20"/>
        </w:rPr>
        <w:t>Adicionalmente, incluye la implementación de una suite tecnológica integral en los ambientes de desarrollo, pruebas, contingencia y producción.</w:t>
      </w:r>
    </w:p>
    <w:p w14:paraId="1BF7A8DE" w14:textId="77777777" w:rsidR="00160081" w:rsidRPr="00160081" w:rsidRDefault="00160081" w:rsidP="00160081">
      <w:pPr>
        <w:jc w:val="both"/>
        <w:rPr>
          <w:rFonts w:cstheme="minorHAnsi"/>
          <w:sz w:val="20"/>
          <w:szCs w:val="20"/>
        </w:rPr>
      </w:pPr>
      <w:r w:rsidRPr="00160081">
        <w:rPr>
          <w:rFonts w:cstheme="minorHAnsi"/>
          <w:sz w:val="20"/>
          <w:szCs w:val="20"/>
        </w:rPr>
        <w:t xml:space="preserve">Lo que implica el diseño técnico, construcción, configuración y despliegue de las capacidades provistas por la suite para procesos automatizables mediante BPMS; la definición, administración y ejecución de reglas y decisiones mediante BRMS; la gestión de identificación, priorización y evaluación de riesgos tributarios y la programación de estrategias de tratamiento; y la gestión integral de trámites, documentos y expedientes institucionales mediante ECM. </w:t>
      </w:r>
    </w:p>
    <w:p w14:paraId="07160C1E" w14:textId="77777777" w:rsidR="00160081" w:rsidRPr="00160081" w:rsidRDefault="00160081" w:rsidP="00160081">
      <w:pPr>
        <w:jc w:val="both"/>
        <w:rPr>
          <w:rFonts w:cstheme="minorHAnsi"/>
          <w:sz w:val="20"/>
          <w:szCs w:val="20"/>
        </w:rPr>
      </w:pPr>
    </w:p>
    <w:p w14:paraId="73DB889A" w14:textId="77777777" w:rsidR="00160081" w:rsidRPr="00160081" w:rsidRDefault="00160081" w:rsidP="00160081">
      <w:pPr>
        <w:jc w:val="both"/>
        <w:rPr>
          <w:rFonts w:cstheme="minorHAnsi"/>
          <w:sz w:val="20"/>
          <w:szCs w:val="20"/>
        </w:rPr>
      </w:pPr>
      <w:r w:rsidRPr="00160081">
        <w:rPr>
          <w:rFonts w:cstheme="minorHAnsi"/>
          <w:sz w:val="20"/>
          <w:szCs w:val="20"/>
        </w:rPr>
        <w:t>Esta implementación abarca: parametrización inicial, definición y carga de procesos, configuración de reglas y tipos documentales, integración con sistemas existentes, configuración del expediente digital, configuración del sistema de riesgos tributarios, provisión de licencias y componentes, mecanismos de versionado y trazabilidad, habilitación de ambientes, soporte inicial y transferencia de conocimientos que aseguren la capacidad institucional para operar, mantener y evolucionar la solución.</w:t>
      </w:r>
    </w:p>
    <w:p w14:paraId="53C65CBE" w14:textId="77777777" w:rsidR="00160081" w:rsidRPr="00160081" w:rsidRDefault="00160081" w:rsidP="00160081">
      <w:pPr>
        <w:jc w:val="both"/>
        <w:rPr>
          <w:rFonts w:cstheme="minorHAnsi"/>
          <w:sz w:val="20"/>
          <w:szCs w:val="20"/>
        </w:rPr>
      </w:pPr>
      <w:r w:rsidRPr="00160081">
        <w:rPr>
          <w:rFonts w:cstheme="minorHAnsi"/>
          <w:sz w:val="20"/>
          <w:szCs w:val="20"/>
        </w:rPr>
        <w:t>Asimismo, la suite deberá permitir la incorporación progresiva y controlada de nuevos procesos, reglas de decisión (obligaciones tributarias), trámites y casos de uso vinculados a la evolución y a las necesidades institucionales, cumpliendo los lineamientos de interoperabilidad, seguridad y normativa aplicable del SRI.</w:t>
      </w:r>
    </w:p>
    <w:p w14:paraId="7BE0C3BB" w14:textId="77777777" w:rsidR="00160081" w:rsidRPr="00160081" w:rsidRDefault="00160081" w:rsidP="00160081">
      <w:pPr>
        <w:jc w:val="both"/>
        <w:outlineLvl w:val="0"/>
        <w:rPr>
          <w:rFonts w:cstheme="minorHAnsi"/>
          <w:kern w:val="36"/>
          <w:sz w:val="20"/>
          <w:szCs w:val="20"/>
        </w:rPr>
      </w:pPr>
    </w:p>
    <w:p w14:paraId="78C1CD8C"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20" w:name="_Toc213858739"/>
      <w:bookmarkStart w:id="21" w:name="_Toc217326203"/>
      <w:r w:rsidRPr="00160081">
        <w:rPr>
          <w:rFonts w:asciiTheme="minorHAnsi" w:eastAsia="Times New Roman" w:hAnsiTheme="minorHAnsi" w:cstheme="minorHAnsi"/>
          <w:b/>
          <w:bCs/>
          <w:color w:val="auto"/>
          <w:sz w:val="20"/>
          <w:szCs w:val="20"/>
        </w:rPr>
        <w:t>Arquitectura, infraestructura y demanda actual</w:t>
      </w:r>
      <w:bookmarkEnd w:id="20"/>
      <w:r w:rsidRPr="00160081">
        <w:rPr>
          <w:rFonts w:asciiTheme="minorHAnsi" w:eastAsia="Times New Roman" w:hAnsiTheme="minorHAnsi" w:cstheme="minorHAnsi"/>
          <w:b/>
          <w:bCs/>
          <w:color w:val="auto"/>
          <w:sz w:val="20"/>
          <w:szCs w:val="20"/>
        </w:rPr>
        <w:t xml:space="preserve"> </w:t>
      </w:r>
      <w:bookmarkEnd w:id="21"/>
    </w:p>
    <w:p w14:paraId="3DF7745D" w14:textId="77777777" w:rsidR="00160081" w:rsidRPr="00160081" w:rsidRDefault="00160081" w:rsidP="00160081">
      <w:pPr>
        <w:pStyle w:val="Ttulo2"/>
        <w:numPr>
          <w:ilvl w:val="1"/>
          <w:numId w:val="157"/>
        </w:numPr>
        <w:ind w:left="1080" w:hanging="360"/>
        <w:rPr>
          <w:rFonts w:asciiTheme="minorHAnsi" w:eastAsia="Times New Roman" w:hAnsiTheme="minorHAnsi" w:cstheme="minorHAnsi"/>
          <w:b/>
          <w:bCs/>
          <w:color w:val="auto"/>
          <w:sz w:val="20"/>
          <w:szCs w:val="20"/>
        </w:rPr>
      </w:pPr>
      <w:r w:rsidRPr="00160081">
        <w:rPr>
          <w:rFonts w:asciiTheme="minorHAnsi" w:eastAsia="Times New Roman" w:hAnsiTheme="minorHAnsi" w:cstheme="minorHAnsi"/>
          <w:b/>
          <w:bCs/>
          <w:color w:val="auto"/>
          <w:sz w:val="20"/>
          <w:szCs w:val="20"/>
        </w:rPr>
        <w:t>Arquitectura de referencia</w:t>
      </w:r>
    </w:p>
    <w:p w14:paraId="4EDB04DE" w14:textId="77777777" w:rsidR="00160081" w:rsidRPr="00160081" w:rsidRDefault="00160081" w:rsidP="00160081">
      <w:pPr>
        <w:jc w:val="both"/>
        <w:rPr>
          <w:rFonts w:cstheme="minorHAnsi"/>
          <w:sz w:val="20"/>
          <w:szCs w:val="20"/>
        </w:rPr>
      </w:pPr>
      <w:r w:rsidRPr="00160081">
        <w:rPr>
          <w:rFonts w:cstheme="minorHAnsi"/>
          <w:sz w:val="20"/>
          <w:szCs w:val="20"/>
        </w:rPr>
        <w:t>A efecto de plantear la solución propuesta que satisfaga las necesidades de la entidad, se presenta la siguiente arquitectura referencial de la Suite tecnológica integral:</w:t>
      </w:r>
    </w:p>
    <w:p w14:paraId="14F1F07F" w14:textId="77777777" w:rsidR="00160081" w:rsidRPr="00160081" w:rsidRDefault="00160081" w:rsidP="00CA02A6">
      <w:pPr>
        <w:ind w:left="-993"/>
        <w:jc w:val="center"/>
        <w:rPr>
          <w:rFonts w:cstheme="minorHAnsi"/>
          <w:sz w:val="20"/>
          <w:szCs w:val="20"/>
          <w:lang w:eastAsia="zh-CN"/>
        </w:rPr>
      </w:pPr>
      <w:r w:rsidRPr="00160081">
        <w:rPr>
          <w:rFonts w:cstheme="minorHAnsi"/>
          <w:noProof/>
          <w:sz w:val="20"/>
          <w:szCs w:val="20"/>
          <w:lang w:eastAsia="zh-CN"/>
          <w14:ligatures w14:val="standardContextual"/>
        </w:rPr>
        <w:drawing>
          <wp:inline distT="0" distB="0" distL="0" distR="0" wp14:anchorId="5BA159A6" wp14:editId="4274FF88">
            <wp:extent cx="6865760" cy="3810000"/>
            <wp:effectExtent l="0" t="0" r="0" b="0"/>
            <wp:docPr id="1698867488"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867488" name="Imagen 1" descr="Mapa&#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924589" cy="3842646"/>
                    </a:xfrm>
                    <a:prstGeom prst="rect">
                      <a:avLst/>
                    </a:prstGeom>
                  </pic:spPr>
                </pic:pic>
              </a:graphicData>
            </a:graphic>
          </wp:inline>
        </w:drawing>
      </w:r>
    </w:p>
    <w:p w14:paraId="3548FA34" w14:textId="77777777" w:rsidR="00CA02A6" w:rsidRDefault="00CA02A6" w:rsidP="00160081">
      <w:pPr>
        <w:jc w:val="both"/>
        <w:rPr>
          <w:rFonts w:cstheme="minorHAnsi"/>
          <w:sz w:val="20"/>
          <w:szCs w:val="20"/>
          <w:lang w:eastAsia="zh-CN"/>
        </w:rPr>
      </w:pPr>
    </w:p>
    <w:p w14:paraId="20A3E865" w14:textId="1D7BE691" w:rsidR="00160081" w:rsidRPr="00160081" w:rsidRDefault="00160081" w:rsidP="00160081">
      <w:pPr>
        <w:jc w:val="both"/>
        <w:rPr>
          <w:rFonts w:cstheme="minorHAnsi"/>
          <w:sz w:val="20"/>
          <w:szCs w:val="20"/>
          <w:lang w:eastAsia="zh-CN"/>
        </w:rPr>
      </w:pPr>
      <w:r w:rsidRPr="00160081">
        <w:rPr>
          <w:rFonts w:cstheme="minorHAnsi"/>
          <w:sz w:val="20"/>
          <w:szCs w:val="20"/>
          <w:lang w:eastAsia="zh-CN"/>
        </w:rPr>
        <w:t>A continuación, en el siguiente gráfico se puede observar las capacidades esperadas de cada componente de la suite tecnológica integral:</w:t>
      </w:r>
    </w:p>
    <w:p w14:paraId="50CAAAD8" w14:textId="77777777" w:rsidR="00160081" w:rsidRPr="00160081" w:rsidRDefault="00160081" w:rsidP="00CA02A6">
      <w:pPr>
        <w:spacing w:line="276" w:lineRule="auto"/>
        <w:ind w:left="-426"/>
        <w:jc w:val="center"/>
        <w:rPr>
          <w:rFonts w:cstheme="minorHAnsi"/>
          <w:sz w:val="20"/>
          <w:szCs w:val="20"/>
          <w:lang w:eastAsia="zh-CN"/>
        </w:rPr>
      </w:pPr>
      <w:r w:rsidRPr="00160081">
        <w:rPr>
          <w:rFonts w:cstheme="minorHAnsi"/>
          <w:noProof/>
          <w:sz w:val="20"/>
          <w:szCs w:val="20"/>
          <w:lang w:eastAsia="zh-CN"/>
        </w:rPr>
        <w:drawing>
          <wp:inline distT="0" distB="0" distL="0" distR="0" wp14:anchorId="07FD992B" wp14:editId="482BC4C8">
            <wp:extent cx="6096000" cy="2939756"/>
            <wp:effectExtent l="0" t="0" r="0" b="0"/>
            <wp:docPr id="917783022" name="Imagen 3"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783022" name="Imagen 3" descr="Interfaz de usuario gráfica&#10;&#10;El contenido generado por IA puede ser incorrec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07344" cy="2945227"/>
                    </a:xfrm>
                    <a:prstGeom prst="rect">
                      <a:avLst/>
                    </a:prstGeom>
                    <a:noFill/>
                  </pic:spPr>
                </pic:pic>
              </a:graphicData>
            </a:graphic>
          </wp:inline>
        </w:drawing>
      </w:r>
    </w:p>
    <w:p w14:paraId="0A0904F4" w14:textId="77777777" w:rsidR="00160081" w:rsidRPr="00160081" w:rsidRDefault="00160081" w:rsidP="00160081">
      <w:pPr>
        <w:pStyle w:val="Ttulo1"/>
        <w:spacing w:before="0"/>
        <w:rPr>
          <w:rFonts w:asciiTheme="minorHAnsi" w:eastAsia="Times New Roman" w:hAnsiTheme="minorHAnsi" w:cstheme="minorHAnsi"/>
          <w:b/>
          <w:bCs/>
          <w:color w:val="000000" w:themeColor="text1"/>
          <w:sz w:val="20"/>
          <w:szCs w:val="20"/>
        </w:rPr>
      </w:pPr>
    </w:p>
    <w:p w14:paraId="170FA802" w14:textId="77777777" w:rsidR="00160081" w:rsidRPr="00160081" w:rsidRDefault="00160081" w:rsidP="00160081">
      <w:pPr>
        <w:pStyle w:val="Ttulo2"/>
        <w:numPr>
          <w:ilvl w:val="1"/>
          <w:numId w:val="157"/>
        </w:numPr>
        <w:ind w:left="1080" w:hanging="360"/>
        <w:rPr>
          <w:rFonts w:asciiTheme="minorHAnsi" w:eastAsia="Times New Roman" w:hAnsiTheme="minorHAnsi" w:cstheme="minorHAnsi"/>
          <w:b/>
          <w:bCs/>
          <w:color w:val="auto"/>
          <w:sz w:val="20"/>
          <w:szCs w:val="20"/>
        </w:rPr>
      </w:pPr>
      <w:r w:rsidRPr="00160081">
        <w:rPr>
          <w:rFonts w:asciiTheme="minorHAnsi" w:eastAsia="Times New Roman" w:hAnsiTheme="minorHAnsi" w:cstheme="minorHAnsi"/>
          <w:b/>
          <w:bCs/>
          <w:color w:val="auto"/>
          <w:sz w:val="20"/>
          <w:szCs w:val="20"/>
        </w:rPr>
        <w:t xml:space="preserve">Infraestructura actual </w:t>
      </w:r>
    </w:p>
    <w:p w14:paraId="635953EF" w14:textId="77777777" w:rsidR="00160081" w:rsidRPr="00160081" w:rsidRDefault="00160081" w:rsidP="00160081">
      <w:pPr>
        <w:rPr>
          <w:rFonts w:cstheme="minorHAnsi"/>
          <w:sz w:val="20"/>
          <w:szCs w:val="20"/>
        </w:rPr>
      </w:pPr>
      <w:r w:rsidRPr="00160081">
        <w:rPr>
          <w:rFonts w:cstheme="minorHAnsi"/>
          <w:sz w:val="20"/>
          <w:szCs w:val="20"/>
        </w:rPr>
        <w:t>Actualmente el SRI dispone de la siguiente infraestructura constituida en un Centro de Computo Principal en Quito y uno Alterno en Guayaquil:</w:t>
      </w:r>
    </w:p>
    <w:p w14:paraId="74F5E897" w14:textId="77777777" w:rsidR="00160081" w:rsidRPr="00160081" w:rsidRDefault="00160081" w:rsidP="00160081">
      <w:pPr>
        <w:rPr>
          <w:rFonts w:cstheme="minorHAnsi"/>
          <w:sz w:val="20"/>
          <w:szCs w:val="20"/>
        </w:rPr>
      </w:pPr>
    </w:p>
    <w:p w14:paraId="18E8D0DC" w14:textId="77777777" w:rsidR="00160081" w:rsidRPr="00160081" w:rsidRDefault="00160081" w:rsidP="00160081">
      <w:pPr>
        <w:jc w:val="center"/>
        <w:rPr>
          <w:rFonts w:cstheme="minorHAnsi"/>
          <w:sz w:val="20"/>
          <w:szCs w:val="20"/>
        </w:rPr>
      </w:pPr>
      <w:r w:rsidRPr="00160081">
        <w:rPr>
          <w:rFonts w:cstheme="minorHAnsi"/>
          <w:noProof/>
          <w:sz w:val="20"/>
          <w:szCs w:val="20"/>
        </w:rPr>
        <w:drawing>
          <wp:inline distT="0" distB="0" distL="0" distR="0" wp14:anchorId="72808120" wp14:editId="46E6AB13">
            <wp:extent cx="1981200" cy="2390775"/>
            <wp:effectExtent l="0" t="0" r="0" b="9525"/>
            <wp:docPr id="1545806680"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806680" name="Imagen 2" descr="Diagrama&#10;&#10;El contenido generado por IA puede ser incorrecto."/>
                    <pic:cNvPicPr>
                      <a:picLocks noChangeAspect="1" noChangeArrowheads="1"/>
                    </pic:cNvPicPr>
                  </pic:nvPicPr>
                  <pic:blipFill>
                    <a:blip r:embed="rId15" r:link="rId16" cstate="print">
                      <a:extLst>
                        <a:ext uri="{28A0092B-C50C-407E-A947-70E740481C1C}">
                          <a14:useLocalDpi xmlns:a14="http://schemas.microsoft.com/office/drawing/2010/main" val="0"/>
                        </a:ext>
                      </a:extLst>
                    </a:blip>
                    <a:srcRect/>
                    <a:stretch>
                      <a:fillRect/>
                    </a:stretch>
                  </pic:blipFill>
                  <pic:spPr bwMode="auto">
                    <a:xfrm>
                      <a:off x="0" y="0"/>
                      <a:ext cx="1981200" cy="2390775"/>
                    </a:xfrm>
                    <a:prstGeom prst="rect">
                      <a:avLst/>
                    </a:prstGeom>
                    <a:noFill/>
                    <a:ln>
                      <a:noFill/>
                    </a:ln>
                  </pic:spPr>
                </pic:pic>
              </a:graphicData>
            </a:graphic>
          </wp:inline>
        </w:drawing>
      </w:r>
    </w:p>
    <w:p w14:paraId="6469C07D" w14:textId="480A6249" w:rsidR="00CA02A6" w:rsidRDefault="00160081" w:rsidP="00160081">
      <w:pPr>
        <w:jc w:val="both"/>
        <w:rPr>
          <w:rFonts w:cstheme="minorHAnsi"/>
          <w:color w:val="000000" w:themeColor="text1"/>
          <w:sz w:val="20"/>
          <w:szCs w:val="20"/>
        </w:rPr>
      </w:pPr>
      <w:r w:rsidRPr="00160081">
        <w:rPr>
          <w:rFonts w:cstheme="minorHAnsi"/>
          <w:color w:val="000000" w:themeColor="text1"/>
          <w:sz w:val="20"/>
          <w:szCs w:val="20"/>
        </w:rPr>
        <w:t>A continuación, se puede observar la infraestructura y software de servicios disponible para la suite:</w:t>
      </w:r>
    </w:p>
    <w:tbl>
      <w:tblPr>
        <w:tblW w:w="5361" w:type="pct"/>
        <w:jc w:val="center"/>
        <w:tblCellMar>
          <w:left w:w="70" w:type="dxa"/>
          <w:right w:w="70" w:type="dxa"/>
        </w:tblCellMar>
        <w:tblLook w:val="04A0" w:firstRow="1" w:lastRow="0" w:firstColumn="1" w:lastColumn="0" w:noHBand="0" w:noVBand="1"/>
      </w:tblPr>
      <w:tblGrid>
        <w:gridCol w:w="1795"/>
        <w:gridCol w:w="6705"/>
      </w:tblGrid>
      <w:tr w:rsidR="00CA02A6" w:rsidRPr="00CA02A6" w14:paraId="60053108" w14:textId="77777777" w:rsidTr="00CA02A6">
        <w:trPr>
          <w:trHeight w:val="300"/>
          <w:jc w:val="center"/>
        </w:trPr>
        <w:tc>
          <w:tcPr>
            <w:tcW w:w="1056" w:type="pct"/>
            <w:tcBorders>
              <w:top w:val="single" w:sz="4" w:space="0" w:color="auto"/>
              <w:left w:val="single" w:sz="4" w:space="0" w:color="auto"/>
              <w:bottom w:val="single" w:sz="8" w:space="0" w:color="auto"/>
              <w:right w:val="single" w:sz="8" w:space="0" w:color="auto"/>
            </w:tcBorders>
            <w:vAlign w:val="center"/>
            <w:hideMark/>
          </w:tcPr>
          <w:p w14:paraId="06C544C3" w14:textId="77777777" w:rsidR="00CA02A6" w:rsidRPr="00CA02A6" w:rsidRDefault="00CA02A6" w:rsidP="00CA02A6">
            <w:pPr>
              <w:spacing w:after="0" w:line="240" w:lineRule="auto"/>
              <w:jc w:val="center"/>
              <w:rPr>
                <w:rFonts w:eastAsia="Times New Roman" w:cstheme="minorHAnsi"/>
                <w:b/>
                <w:bCs/>
                <w:color w:val="000000"/>
                <w:sz w:val="20"/>
                <w:szCs w:val="20"/>
                <w:lang w:eastAsia="es-EC"/>
              </w:rPr>
            </w:pPr>
            <w:r w:rsidRPr="00CA02A6">
              <w:rPr>
                <w:rFonts w:eastAsia="Times New Roman" w:cstheme="minorHAnsi"/>
                <w:b/>
                <w:bCs/>
                <w:sz w:val="20"/>
                <w:szCs w:val="20"/>
                <w:lang w:eastAsia="es-EC"/>
              </w:rPr>
              <w:t>CONCEPTO</w:t>
            </w:r>
          </w:p>
        </w:tc>
        <w:tc>
          <w:tcPr>
            <w:tcW w:w="3944" w:type="pct"/>
            <w:tcBorders>
              <w:top w:val="single" w:sz="4" w:space="0" w:color="auto"/>
              <w:left w:val="nil"/>
              <w:bottom w:val="single" w:sz="8" w:space="0" w:color="auto"/>
              <w:right w:val="single" w:sz="4" w:space="0" w:color="auto"/>
            </w:tcBorders>
            <w:vAlign w:val="center"/>
            <w:hideMark/>
          </w:tcPr>
          <w:p w14:paraId="58EB9021" w14:textId="77777777" w:rsidR="00CA02A6" w:rsidRPr="00CA02A6" w:rsidRDefault="00CA02A6" w:rsidP="00CA02A6">
            <w:pPr>
              <w:spacing w:after="0" w:line="240" w:lineRule="auto"/>
              <w:jc w:val="center"/>
              <w:rPr>
                <w:rFonts w:eastAsia="Times New Roman" w:cstheme="minorHAnsi"/>
                <w:b/>
                <w:bCs/>
                <w:color w:val="000000"/>
                <w:sz w:val="20"/>
                <w:szCs w:val="20"/>
                <w:lang w:eastAsia="es-EC"/>
              </w:rPr>
            </w:pPr>
            <w:r w:rsidRPr="00CA02A6">
              <w:rPr>
                <w:rFonts w:eastAsia="Times New Roman" w:cstheme="minorHAnsi"/>
                <w:b/>
                <w:bCs/>
                <w:sz w:val="20"/>
                <w:szCs w:val="20"/>
                <w:lang w:eastAsia="es-EC"/>
              </w:rPr>
              <w:t>DISPONIBLE EN EL SRI</w:t>
            </w:r>
          </w:p>
        </w:tc>
      </w:tr>
      <w:tr w:rsidR="00CA02A6" w:rsidRPr="00CA02A6" w14:paraId="391D1020" w14:textId="77777777" w:rsidTr="00CA02A6">
        <w:trPr>
          <w:trHeight w:val="288"/>
          <w:jc w:val="center"/>
        </w:trPr>
        <w:tc>
          <w:tcPr>
            <w:tcW w:w="1056" w:type="pct"/>
            <w:vMerge w:val="restart"/>
            <w:tcBorders>
              <w:top w:val="nil"/>
              <w:left w:val="single" w:sz="4" w:space="0" w:color="auto"/>
              <w:bottom w:val="single" w:sz="8" w:space="0" w:color="000000"/>
              <w:right w:val="single" w:sz="8" w:space="0" w:color="auto"/>
            </w:tcBorders>
            <w:vAlign w:val="center"/>
            <w:hideMark/>
          </w:tcPr>
          <w:p w14:paraId="4236E117"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Capa Media</w:t>
            </w:r>
          </w:p>
        </w:tc>
        <w:tc>
          <w:tcPr>
            <w:tcW w:w="3944" w:type="pct"/>
            <w:tcBorders>
              <w:top w:val="nil"/>
              <w:left w:val="nil"/>
              <w:bottom w:val="nil"/>
              <w:right w:val="single" w:sz="4" w:space="0" w:color="auto"/>
            </w:tcBorders>
            <w:vAlign w:val="center"/>
            <w:hideMark/>
          </w:tcPr>
          <w:p w14:paraId="4E65F962"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Plataforma de virtualización</w:t>
            </w:r>
          </w:p>
        </w:tc>
      </w:tr>
      <w:tr w:rsidR="00CA02A6" w:rsidRPr="00CA02A6" w14:paraId="28036BA9"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2B006834"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49AA5ECB"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 </w:t>
            </w:r>
            <w:proofErr w:type="spellStart"/>
            <w:r w:rsidRPr="00CA02A6">
              <w:rPr>
                <w:rFonts w:eastAsia="Times New Roman" w:cstheme="minorHAnsi"/>
                <w:color w:val="000000"/>
                <w:sz w:val="20"/>
                <w:szCs w:val="20"/>
                <w:lang w:eastAsia="es-EC"/>
              </w:rPr>
              <w:t>vSphere</w:t>
            </w:r>
            <w:proofErr w:type="spellEnd"/>
            <w:r w:rsidRPr="00CA02A6">
              <w:rPr>
                <w:rFonts w:eastAsia="Times New Roman" w:cstheme="minorHAnsi"/>
                <w:color w:val="000000"/>
                <w:sz w:val="20"/>
                <w:szCs w:val="20"/>
                <w:lang w:eastAsia="es-EC"/>
              </w:rPr>
              <w:t xml:space="preserve"> Client versión 8.0.3.00500</w:t>
            </w:r>
          </w:p>
        </w:tc>
      </w:tr>
      <w:tr w:rsidR="00CA02A6" w:rsidRPr="00CA02A6" w14:paraId="0239D5BD"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26460B09"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68222D89"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 Hipervisor: VMware </w:t>
            </w:r>
            <w:proofErr w:type="spellStart"/>
            <w:r w:rsidRPr="00CA02A6">
              <w:rPr>
                <w:rFonts w:eastAsia="Times New Roman" w:cstheme="minorHAnsi"/>
                <w:color w:val="000000"/>
                <w:sz w:val="20"/>
                <w:szCs w:val="20"/>
                <w:lang w:eastAsia="es-EC"/>
              </w:rPr>
              <w:t>ESXi</w:t>
            </w:r>
            <w:proofErr w:type="spellEnd"/>
            <w:r w:rsidRPr="00CA02A6">
              <w:rPr>
                <w:rFonts w:eastAsia="Times New Roman" w:cstheme="minorHAnsi"/>
                <w:color w:val="000000"/>
                <w:sz w:val="20"/>
                <w:szCs w:val="20"/>
                <w:lang w:eastAsia="es-EC"/>
              </w:rPr>
              <w:t>, 8.0.3, 24022510</w:t>
            </w:r>
          </w:p>
        </w:tc>
      </w:tr>
      <w:tr w:rsidR="00CA02A6" w:rsidRPr="00CA02A6" w14:paraId="4395410D" w14:textId="77777777" w:rsidTr="00CA02A6">
        <w:trPr>
          <w:trHeight w:val="576"/>
          <w:jc w:val="center"/>
        </w:trPr>
        <w:tc>
          <w:tcPr>
            <w:tcW w:w="1056" w:type="pct"/>
            <w:vMerge/>
            <w:tcBorders>
              <w:top w:val="nil"/>
              <w:left w:val="single" w:sz="4" w:space="0" w:color="auto"/>
              <w:bottom w:val="single" w:sz="8" w:space="0" w:color="000000"/>
              <w:right w:val="single" w:sz="8" w:space="0" w:color="auto"/>
            </w:tcBorders>
            <w:vAlign w:val="center"/>
            <w:hideMark/>
          </w:tcPr>
          <w:p w14:paraId="7FC95586"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69E2F9C7"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 Sistemas operativos soportados por fabricantes Microsoft Windows Server o Red </w:t>
            </w:r>
            <w:proofErr w:type="spellStart"/>
            <w:r w:rsidRPr="00CA02A6">
              <w:rPr>
                <w:rFonts w:eastAsia="Times New Roman" w:cstheme="minorHAnsi"/>
                <w:color w:val="000000"/>
                <w:sz w:val="20"/>
                <w:szCs w:val="20"/>
                <w:lang w:eastAsia="es-EC"/>
              </w:rPr>
              <w:t>Hat</w:t>
            </w:r>
            <w:proofErr w:type="spellEnd"/>
            <w:r w:rsidRPr="00CA02A6">
              <w:rPr>
                <w:rFonts w:eastAsia="Times New Roman" w:cstheme="minorHAnsi"/>
                <w:color w:val="000000"/>
                <w:sz w:val="20"/>
                <w:szCs w:val="20"/>
                <w:lang w:eastAsia="es-EC"/>
              </w:rPr>
              <w:t xml:space="preserve"> Enterprise Linux</w:t>
            </w:r>
          </w:p>
        </w:tc>
      </w:tr>
      <w:tr w:rsidR="00CA02A6" w:rsidRPr="00CA02A6" w14:paraId="0DFCE7A5"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4FED6FEE"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62EBDFFD"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Servidores de procesamiento de capa media: - Modelo: </w:t>
            </w:r>
            <w:proofErr w:type="spellStart"/>
            <w:r w:rsidRPr="00CA02A6">
              <w:rPr>
                <w:rFonts w:eastAsia="Times New Roman" w:cstheme="minorHAnsi"/>
                <w:color w:val="000000"/>
                <w:sz w:val="20"/>
                <w:szCs w:val="20"/>
                <w:lang w:eastAsia="es-EC"/>
              </w:rPr>
              <w:t>PowerEdge</w:t>
            </w:r>
            <w:proofErr w:type="spellEnd"/>
            <w:r w:rsidRPr="00CA02A6">
              <w:rPr>
                <w:rFonts w:eastAsia="Times New Roman" w:cstheme="minorHAnsi"/>
                <w:color w:val="000000"/>
                <w:sz w:val="20"/>
                <w:szCs w:val="20"/>
                <w:lang w:eastAsia="es-EC"/>
              </w:rPr>
              <w:t xml:space="preserve"> MX760c</w:t>
            </w:r>
          </w:p>
        </w:tc>
      </w:tr>
      <w:tr w:rsidR="00CA02A6" w:rsidRPr="00CA02A6" w14:paraId="0F80A65E" w14:textId="77777777" w:rsidTr="00CA02A6">
        <w:trPr>
          <w:trHeight w:val="300"/>
          <w:jc w:val="center"/>
        </w:trPr>
        <w:tc>
          <w:tcPr>
            <w:tcW w:w="1056" w:type="pct"/>
            <w:vMerge/>
            <w:tcBorders>
              <w:top w:val="nil"/>
              <w:left w:val="single" w:sz="4" w:space="0" w:color="auto"/>
              <w:bottom w:val="single" w:sz="8" w:space="0" w:color="000000"/>
              <w:right w:val="single" w:sz="8" w:space="0" w:color="auto"/>
            </w:tcBorders>
            <w:vAlign w:val="center"/>
            <w:hideMark/>
          </w:tcPr>
          <w:p w14:paraId="3A4F6CA6"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single" w:sz="8" w:space="0" w:color="auto"/>
              <w:right w:val="single" w:sz="4" w:space="0" w:color="auto"/>
            </w:tcBorders>
            <w:vAlign w:val="center"/>
            <w:hideMark/>
          </w:tcPr>
          <w:p w14:paraId="1407EFA1"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Tipo de procesador: Intel(R) Xeon(R) Platinum 8462Y+</w:t>
            </w:r>
          </w:p>
        </w:tc>
      </w:tr>
      <w:tr w:rsidR="00CA02A6" w:rsidRPr="00CA02A6" w14:paraId="3D53F4CD" w14:textId="77777777" w:rsidTr="00CA02A6">
        <w:trPr>
          <w:trHeight w:val="300"/>
          <w:jc w:val="center"/>
        </w:trPr>
        <w:tc>
          <w:tcPr>
            <w:tcW w:w="1056" w:type="pct"/>
            <w:tcBorders>
              <w:top w:val="nil"/>
              <w:left w:val="single" w:sz="4" w:space="0" w:color="auto"/>
              <w:bottom w:val="single" w:sz="8" w:space="0" w:color="auto"/>
              <w:right w:val="single" w:sz="8" w:space="0" w:color="auto"/>
            </w:tcBorders>
            <w:vAlign w:val="center"/>
            <w:hideMark/>
          </w:tcPr>
          <w:p w14:paraId="557B2470"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Almacenamiento</w:t>
            </w:r>
          </w:p>
        </w:tc>
        <w:tc>
          <w:tcPr>
            <w:tcW w:w="3944" w:type="pct"/>
            <w:tcBorders>
              <w:top w:val="nil"/>
              <w:left w:val="nil"/>
              <w:bottom w:val="single" w:sz="8" w:space="0" w:color="auto"/>
              <w:right w:val="single" w:sz="4" w:space="0" w:color="auto"/>
            </w:tcBorders>
            <w:vAlign w:val="center"/>
            <w:hideMark/>
          </w:tcPr>
          <w:p w14:paraId="7031B0AE"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IBM Flash </w:t>
            </w:r>
            <w:proofErr w:type="spellStart"/>
            <w:r w:rsidRPr="00CA02A6">
              <w:rPr>
                <w:rFonts w:eastAsia="Times New Roman" w:cstheme="minorHAnsi"/>
                <w:color w:val="000000"/>
                <w:sz w:val="20"/>
                <w:szCs w:val="20"/>
                <w:lang w:eastAsia="es-EC"/>
              </w:rPr>
              <w:t>System</w:t>
            </w:r>
            <w:proofErr w:type="spellEnd"/>
            <w:r w:rsidRPr="00CA02A6">
              <w:rPr>
                <w:rFonts w:eastAsia="Times New Roman" w:cstheme="minorHAnsi"/>
                <w:color w:val="000000"/>
                <w:sz w:val="20"/>
                <w:szCs w:val="20"/>
                <w:lang w:eastAsia="es-EC"/>
              </w:rPr>
              <w:t xml:space="preserve"> 9500</w:t>
            </w:r>
          </w:p>
        </w:tc>
      </w:tr>
      <w:tr w:rsidR="00CA02A6" w:rsidRPr="00CA02A6" w14:paraId="70B90521" w14:textId="77777777" w:rsidTr="00CA02A6">
        <w:trPr>
          <w:trHeight w:val="288"/>
          <w:jc w:val="center"/>
        </w:trPr>
        <w:tc>
          <w:tcPr>
            <w:tcW w:w="1056" w:type="pct"/>
            <w:vMerge w:val="restart"/>
            <w:tcBorders>
              <w:top w:val="nil"/>
              <w:left w:val="single" w:sz="4" w:space="0" w:color="auto"/>
              <w:bottom w:val="single" w:sz="8" w:space="0" w:color="000000"/>
              <w:right w:val="single" w:sz="8" w:space="0" w:color="auto"/>
            </w:tcBorders>
            <w:vAlign w:val="center"/>
            <w:hideMark/>
          </w:tcPr>
          <w:p w14:paraId="58E34466"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Procesamiento de Base de Datos</w:t>
            </w:r>
          </w:p>
        </w:tc>
        <w:tc>
          <w:tcPr>
            <w:tcW w:w="3944" w:type="pct"/>
            <w:tcBorders>
              <w:top w:val="nil"/>
              <w:left w:val="nil"/>
              <w:bottom w:val="nil"/>
              <w:right w:val="single" w:sz="4" w:space="0" w:color="auto"/>
            </w:tcBorders>
            <w:vAlign w:val="center"/>
            <w:hideMark/>
          </w:tcPr>
          <w:p w14:paraId="21C3D46C"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Bases de Datos:</w:t>
            </w:r>
          </w:p>
        </w:tc>
      </w:tr>
      <w:tr w:rsidR="00CA02A6" w:rsidRPr="00CA02A6" w14:paraId="69111F7A"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0506B149"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6CCBFF61"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 Oracle con versiones 11gR2, 12cR2 y 19c </w:t>
            </w:r>
          </w:p>
        </w:tc>
      </w:tr>
      <w:tr w:rsidR="00CA02A6" w:rsidRPr="00CA02A6" w14:paraId="5D590282" w14:textId="77777777" w:rsidTr="00CA02A6">
        <w:trPr>
          <w:trHeight w:val="576"/>
          <w:jc w:val="center"/>
        </w:trPr>
        <w:tc>
          <w:tcPr>
            <w:tcW w:w="1056" w:type="pct"/>
            <w:vMerge/>
            <w:tcBorders>
              <w:top w:val="nil"/>
              <w:left w:val="single" w:sz="4" w:space="0" w:color="auto"/>
              <w:bottom w:val="single" w:sz="8" w:space="0" w:color="000000"/>
              <w:right w:val="single" w:sz="8" w:space="0" w:color="auto"/>
            </w:tcBorders>
            <w:vAlign w:val="center"/>
            <w:hideMark/>
          </w:tcPr>
          <w:p w14:paraId="50F1733F"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59DF0F40"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Servidores con sistema operativo Solaris 11.4, para ambientes productivos, no productivos y contingencia.</w:t>
            </w:r>
          </w:p>
        </w:tc>
      </w:tr>
      <w:tr w:rsidR="00CA02A6" w:rsidRPr="00CA02A6" w14:paraId="09AFBD34" w14:textId="77777777" w:rsidTr="00CA02A6">
        <w:trPr>
          <w:trHeight w:val="588"/>
          <w:jc w:val="center"/>
        </w:trPr>
        <w:tc>
          <w:tcPr>
            <w:tcW w:w="1056" w:type="pct"/>
            <w:vMerge/>
            <w:tcBorders>
              <w:top w:val="nil"/>
              <w:left w:val="single" w:sz="4" w:space="0" w:color="auto"/>
              <w:bottom w:val="single" w:sz="8" w:space="0" w:color="000000"/>
              <w:right w:val="single" w:sz="8" w:space="0" w:color="auto"/>
            </w:tcBorders>
            <w:vAlign w:val="center"/>
            <w:hideMark/>
          </w:tcPr>
          <w:p w14:paraId="53215649"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single" w:sz="8" w:space="0" w:color="auto"/>
              <w:right w:val="single" w:sz="4" w:space="0" w:color="auto"/>
            </w:tcBorders>
            <w:vAlign w:val="center"/>
            <w:hideMark/>
          </w:tcPr>
          <w:p w14:paraId="40F81E50"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En proceso de adquisición de nueva infraestructura de procesamiento de bases de datos basada en arquitectura RISC</w:t>
            </w:r>
          </w:p>
        </w:tc>
      </w:tr>
      <w:tr w:rsidR="00CA02A6" w:rsidRPr="00CA02A6" w14:paraId="65C6A4EC" w14:textId="77777777" w:rsidTr="00CA02A6">
        <w:trPr>
          <w:trHeight w:val="588"/>
          <w:jc w:val="center"/>
        </w:trPr>
        <w:tc>
          <w:tcPr>
            <w:tcW w:w="1056" w:type="pct"/>
            <w:tcBorders>
              <w:top w:val="nil"/>
              <w:left w:val="single" w:sz="4" w:space="0" w:color="auto"/>
              <w:bottom w:val="single" w:sz="8" w:space="0" w:color="auto"/>
              <w:right w:val="single" w:sz="8" w:space="0" w:color="auto"/>
            </w:tcBorders>
            <w:vAlign w:val="center"/>
            <w:hideMark/>
          </w:tcPr>
          <w:p w14:paraId="35FA3B13"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Seguridad</w:t>
            </w:r>
          </w:p>
        </w:tc>
        <w:tc>
          <w:tcPr>
            <w:tcW w:w="3944" w:type="pct"/>
            <w:tcBorders>
              <w:top w:val="nil"/>
              <w:left w:val="nil"/>
              <w:bottom w:val="single" w:sz="8" w:space="0" w:color="auto"/>
              <w:right w:val="single" w:sz="4" w:space="0" w:color="auto"/>
            </w:tcBorders>
            <w:vAlign w:val="center"/>
            <w:hideMark/>
          </w:tcPr>
          <w:p w14:paraId="5BB910CE"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Existe una segmentación de red entre las soluciones expuestas al Internet e Intranet, cada uno con su esquema de seguridad</w:t>
            </w:r>
          </w:p>
        </w:tc>
      </w:tr>
      <w:tr w:rsidR="00CA02A6" w:rsidRPr="00CA02A6" w14:paraId="0BCE2B6D" w14:textId="77777777" w:rsidTr="00CA02A6">
        <w:trPr>
          <w:trHeight w:val="588"/>
          <w:jc w:val="center"/>
        </w:trPr>
        <w:tc>
          <w:tcPr>
            <w:tcW w:w="1056" w:type="pct"/>
            <w:tcBorders>
              <w:top w:val="nil"/>
              <w:left w:val="single" w:sz="4" w:space="0" w:color="auto"/>
              <w:bottom w:val="single" w:sz="8" w:space="0" w:color="auto"/>
              <w:right w:val="single" w:sz="8" w:space="0" w:color="auto"/>
            </w:tcBorders>
            <w:vAlign w:val="center"/>
            <w:hideMark/>
          </w:tcPr>
          <w:p w14:paraId="10B1D5C4"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Respaldo</w:t>
            </w:r>
          </w:p>
        </w:tc>
        <w:tc>
          <w:tcPr>
            <w:tcW w:w="3944" w:type="pct"/>
            <w:tcBorders>
              <w:top w:val="nil"/>
              <w:left w:val="nil"/>
              <w:bottom w:val="single" w:sz="8" w:space="0" w:color="auto"/>
              <w:right w:val="single" w:sz="4" w:space="0" w:color="auto"/>
            </w:tcBorders>
            <w:vAlign w:val="center"/>
            <w:hideMark/>
          </w:tcPr>
          <w:p w14:paraId="1162867D"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Sistema de respaldos Veritas </w:t>
            </w:r>
            <w:proofErr w:type="spellStart"/>
            <w:r w:rsidRPr="00CA02A6">
              <w:rPr>
                <w:rFonts w:eastAsia="Times New Roman" w:cstheme="minorHAnsi"/>
                <w:color w:val="000000"/>
                <w:sz w:val="20"/>
                <w:szCs w:val="20"/>
                <w:lang w:eastAsia="es-EC"/>
              </w:rPr>
              <w:t>NetBackup</w:t>
            </w:r>
            <w:proofErr w:type="spellEnd"/>
            <w:r w:rsidRPr="00CA02A6">
              <w:rPr>
                <w:rFonts w:eastAsia="Times New Roman" w:cstheme="minorHAnsi"/>
                <w:color w:val="000000"/>
                <w:sz w:val="20"/>
                <w:szCs w:val="20"/>
                <w:lang w:eastAsia="es-EC"/>
              </w:rPr>
              <w:t xml:space="preserve"> 10.5.0.1 para información estructurada y no estructurada</w:t>
            </w:r>
          </w:p>
        </w:tc>
      </w:tr>
      <w:tr w:rsidR="00CA02A6" w:rsidRPr="00CA02A6" w14:paraId="0AB2EB73" w14:textId="77777777" w:rsidTr="00CA02A6">
        <w:trPr>
          <w:trHeight w:val="300"/>
          <w:jc w:val="center"/>
        </w:trPr>
        <w:tc>
          <w:tcPr>
            <w:tcW w:w="1056" w:type="pct"/>
            <w:tcBorders>
              <w:top w:val="nil"/>
              <w:left w:val="single" w:sz="4" w:space="0" w:color="auto"/>
              <w:bottom w:val="single" w:sz="8" w:space="0" w:color="auto"/>
              <w:right w:val="single" w:sz="8" w:space="0" w:color="auto"/>
            </w:tcBorders>
            <w:vAlign w:val="center"/>
            <w:hideMark/>
          </w:tcPr>
          <w:p w14:paraId="7F64A90B"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Continuidad</w:t>
            </w:r>
          </w:p>
        </w:tc>
        <w:tc>
          <w:tcPr>
            <w:tcW w:w="3944" w:type="pct"/>
            <w:tcBorders>
              <w:top w:val="nil"/>
              <w:left w:val="nil"/>
              <w:bottom w:val="single" w:sz="8" w:space="0" w:color="auto"/>
              <w:right w:val="single" w:sz="4" w:space="0" w:color="auto"/>
            </w:tcBorders>
            <w:vAlign w:val="center"/>
            <w:hideMark/>
          </w:tcPr>
          <w:p w14:paraId="53B610E4"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Infraestructura requerida en el centro de cómputo alterno</w:t>
            </w:r>
          </w:p>
        </w:tc>
      </w:tr>
      <w:tr w:rsidR="00CA02A6" w:rsidRPr="00CA02A6" w14:paraId="79613894" w14:textId="77777777" w:rsidTr="00CA02A6">
        <w:trPr>
          <w:trHeight w:val="288"/>
          <w:jc w:val="center"/>
        </w:trPr>
        <w:tc>
          <w:tcPr>
            <w:tcW w:w="1056" w:type="pct"/>
            <w:vMerge w:val="restart"/>
            <w:tcBorders>
              <w:top w:val="nil"/>
              <w:left w:val="single" w:sz="4" w:space="0" w:color="auto"/>
              <w:bottom w:val="single" w:sz="8" w:space="0" w:color="000000"/>
              <w:right w:val="single" w:sz="8" w:space="0" w:color="auto"/>
            </w:tcBorders>
            <w:vAlign w:val="center"/>
            <w:hideMark/>
          </w:tcPr>
          <w:p w14:paraId="0CFF4E7B"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Conectividad</w:t>
            </w:r>
          </w:p>
        </w:tc>
        <w:tc>
          <w:tcPr>
            <w:tcW w:w="3944" w:type="pct"/>
            <w:tcBorders>
              <w:top w:val="nil"/>
              <w:left w:val="nil"/>
              <w:bottom w:val="nil"/>
              <w:right w:val="single" w:sz="4" w:space="0" w:color="auto"/>
            </w:tcBorders>
            <w:vAlign w:val="center"/>
            <w:hideMark/>
          </w:tcPr>
          <w:p w14:paraId="397284E6"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Enlaces de internet:</w:t>
            </w:r>
          </w:p>
        </w:tc>
      </w:tr>
      <w:tr w:rsidR="00CA02A6" w:rsidRPr="00CA02A6" w14:paraId="6D92CBC5"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21C47B7B"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09C1DEF3"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Principal:  936 </w:t>
            </w:r>
            <w:proofErr w:type="spellStart"/>
            <w:r w:rsidRPr="00CA02A6">
              <w:rPr>
                <w:rFonts w:eastAsia="Times New Roman" w:cstheme="minorHAnsi"/>
                <w:color w:val="000000"/>
                <w:sz w:val="20"/>
                <w:szCs w:val="20"/>
                <w:lang w:eastAsia="es-EC"/>
              </w:rPr>
              <w:t>mbps</w:t>
            </w:r>
            <w:proofErr w:type="spellEnd"/>
          </w:p>
        </w:tc>
      </w:tr>
      <w:tr w:rsidR="00CA02A6" w:rsidRPr="00CA02A6" w14:paraId="67F53BEF"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33A026F3"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2202FEC9"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 xml:space="preserve">Alterno:  928 </w:t>
            </w:r>
            <w:proofErr w:type="spellStart"/>
            <w:r w:rsidRPr="00CA02A6">
              <w:rPr>
                <w:rFonts w:eastAsia="Times New Roman" w:cstheme="minorHAnsi"/>
                <w:color w:val="000000"/>
                <w:sz w:val="20"/>
                <w:szCs w:val="20"/>
                <w:lang w:eastAsia="es-EC"/>
              </w:rPr>
              <w:t>mbps</w:t>
            </w:r>
            <w:proofErr w:type="spellEnd"/>
          </w:p>
        </w:tc>
      </w:tr>
      <w:tr w:rsidR="00CA02A6" w:rsidRPr="00CA02A6" w14:paraId="15C71DFE"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460934A3"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6A3531DF"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Uso promedio es del 80%.</w:t>
            </w:r>
          </w:p>
        </w:tc>
      </w:tr>
      <w:tr w:rsidR="00CA02A6" w:rsidRPr="00CA02A6" w14:paraId="6C287F8E"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4A10E174"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04A5EAAC"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A nivel nacional según la localidad en promedio:</w:t>
            </w:r>
          </w:p>
        </w:tc>
      </w:tr>
      <w:tr w:rsidR="00CA02A6" w:rsidRPr="00CA02A6" w14:paraId="65E6A0E1"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68B257D4"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1CE059ED"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Agencias pequeñas entre 5 a 10 Mbps,</w:t>
            </w:r>
          </w:p>
        </w:tc>
      </w:tr>
      <w:tr w:rsidR="00CA02A6" w:rsidRPr="00CA02A6" w14:paraId="3072B96C"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5BB6B207"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0AD88BAA"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Agencias grandes de 10 a 25 Mbps.</w:t>
            </w:r>
          </w:p>
        </w:tc>
      </w:tr>
      <w:tr w:rsidR="00CA02A6" w:rsidRPr="00CA02A6" w14:paraId="68E49C75"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3C4034B5"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0632E0BE"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Uso promedio de ellos es del 90%, también cuenta con enlaces de contingencia</w:t>
            </w:r>
          </w:p>
        </w:tc>
      </w:tr>
      <w:tr w:rsidR="00CA02A6" w:rsidRPr="00CA02A6" w14:paraId="04CB4DBC"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0B45B4CC"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0C35BE1E"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Para los Centros de Computo:</w:t>
            </w:r>
          </w:p>
        </w:tc>
      </w:tr>
      <w:tr w:rsidR="00CA02A6" w:rsidRPr="00CA02A6" w14:paraId="55459F43"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0671C7B1"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56069316"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Principal Quito: 100 Mbps</w:t>
            </w:r>
          </w:p>
        </w:tc>
      </w:tr>
      <w:tr w:rsidR="00CA02A6" w:rsidRPr="00CA02A6" w14:paraId="117375B8" w14:textId="77777777" w:rsidTr="00CA02A6">
        <w:trPr>
          <w:trHeight w:val="288"/>
          <w:jc w:val="center"/>
        </w:trPr>
        <w:tc>
          <w:tcPr>
            <w:tcW w:w="1056" w:type="pct"/>
            <w:vMerge/>
            <w:tcBorders>
              <w:top w:val="nil"/>
              <w:left w:val="single" w:sz="4" w:space="0" w:color="auto"/>
              <w:bottom w:val="single" w:sz="8" w:space="0" w:color="000000"/>
              <w:right w:val="single" w:sz="8" w:space="0" w:color="auto"/>
            </w:tcBorders>
            <w:vAlign w:val="center"/>
            <w:hideMark/>
          </w:tcPr>
          <w:p w14:paraId="6AFBB93C"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nil"/>
              <w:right w:val="single" w:sz="4" w:space="0" w:color="auto"/>
            </w:tcBorders>
            <w:vAlign w:val="center"/>
            <w:hideMark/>
          </w:tcPr>
          <w:p w14:paraId="55FE2237"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Alterno y ambientes no productivos, Guayaquil: 100 Mbps</w:t>
            </w:r>
          </w:p>
        </w:tc>
      </w:tr>
      <w:tr w:rsidR="00CA02A6" w:rsidRPr="00CA02A6" w14:paraId="31F0CF3F" w14:textId="77777777" w:rsidTr="00CA02A6">
        <w:trPr>
          <w:trHeight w:val="300"/>
          <w:jc w:val="center"/>
        </w:trPr>
        <w:tc>
          <w:tcPr>
            <w:tcW w:w="1056" w:type="pct"/>
            <w:vMerge/>
            <w:tcBorders>
              <w:top w:val="nil"/>
              <w:left w:val="single" w:sz="4" w:space="0" w:color="auto"/>
              <w:bottom w:val="single" w:sz="8" w:space="0" w:color="000000"/>
              <w:right w:val="single" w:sz="8" w:space="0" w:color="auto"/>
            </w:tcBorders>
            <w:vAlign w:val="center"/>
            <w:hideMark/>
          </w:tcPr>
          <w:p w14:paraId="1577D03D"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single" w:sz="8" w:space="0" w:color="auto"/>
              <w:right w:val="single" w:sz="4" w:space="0" w:color="auto"/>
            </w:tcBorders>
            <w:vAlign w:val="center"/>
            <w:hideMark/>
          </w:tcPr>
          <w:p w14:paraId="307C7713"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Uso promedio de estas es del 80, también cuenta con enlaces de contingencia.</w:t>
            </w:r>
          </w:p>
        </w:tc>
      </w:tr>
      <w:tr w:rsidR="00CA02A6" w:rsidRPr="00CA02A6" w14:paraId="26E4CDF0" w14:textId="77777777" w:rsidTr="00CA02A6">
        <w:trPr>
          <w:trHeight w:val="288"/>
          <w:jc w:val="center"/>
        </w:trPr>
        <w:tc>
          <w:tcPr>
            <w:tcW w:w="1056" w:type="pct"/>
            <w:vMerge w:val="restart"/>
            <w:tcBorders>
              <w:top w:val="nil"/>
              <w:left w:val="single" w:sz="4" w:space="0" w:color="auto"/>
              <w:bottom w:val="single" w:sz="8" w:space="0" w:color="000000"/>
              <w:right w:val="single" w:sz="8" w:space="0" w:color="auto"/>
            </w:tcBorders>
            <w:vAlign w:val="center"/>
            <w:hideMark/>
          </w:tcPr>
          <w:p w14:paraId="7E4B7854" w14:textId="77777777" w:rsidR="00CA02A6" w:rsidRPr="00CA02A6" w:rsidRDefault="00CA02A6" w:rsidP="00CA02A6">
            <w:pPr>
              <w:spacing w:after="0" w:line="240" w:lineRule="auto"/>
              <w:jc w:val="center"/>
              <w:rPr>
                <w:rFonts w:eastAsia="Times New Roman" w:cstheme="minorHAnsi"/>
                <w:color w:val="000000"/>
                <w:sz w:val="20"/>
                <w:szCs w:val="20"/>
                <w:lang w:eastAsia="es-EC"/>
              </w:rPr>
            </w:pPr>
            <w:r w:rsidRPr="00CA02A6">
              <w:rPr>
                <w:rFonts w:eastAsia="Times New Roman" w:cstheme="minorHAnsi"/>
                <w:color w:val="000000"/>
                <w:sz w:val="20"/>
                <w:szCs w:val="20"/>
                <w:lang w:eastAsia="es-EC"/>
              </w:rPr>
              <w:t>Monitoreo</w:t>
            </w:r>
          </w:p>
        </w:tc>
        <w:tc>
          <w:tcPr>
            <w:tcW w:w="3944" w:type="pct"/>
            <w:tcBorders>
              <w:top w:val="nil"/>
              <w:left w:val="nil"/>
              <w:bottom w:val="nil"/>
              <w:right w:val="single" w:sz="4" w:space="0" w:color="auto"/>
            </w:tcBorders>
            <w:vAlign w:val="center"/>
            <w:hideMark/>
          </w:tcPr>
          <w:p w14:paraId="3054238E" w14:textId="77777777" w:rsidR="00CA02A6" w:rsidRPr="00CA02A6" w:rsidRDefault="00CA02A6" w:rsidP="00CA02A6">
            <w:pPr>
              <w:spacing w:after="0" w:line="240" w:lineRule="auto"/>
              <w:jc w:val="center"/>
              <w:rPr>
                <w:rFonts w:eastAsia="Times New Roman" w:cstheme="minorHAnsi"/>
                <w:color w:val="000000"/>
                <w:sz w:val="20"/>
                <w:szCs w:val="20"/>
                <w:lang w:eastAsia="es-EC"/>
              </w:rPr>
            </w:pPr>
            <w:proofErr w:type="spellStart"/>
            <w:r w:rsidRPr="00CA02A6">
              <w:rPr>
                <w:rFonts w:eastAsia="Times New Roman" w:cstheme="minorHAnsi"/>
                <w:color w:val="000000"/>
                <w:sz w:val="20"/>
                <w:szCs w:val="20"/>
                <w:lang w:eastAsia="es-EC"/>
              </w:rPr>
              <w:t>Zabbix</w:t>
            </w:r>
            <w:proofErr w:type="spellEnd"/>
          </w:p>
        </w:tc>
      </w:tr>
      <w:tr w:rsidR="00CA02A6" w:rsidRPr="00CA02A6" w14:paraId="11D5C158" w14:textId="77777777" w:rsidTr="00CA02A6">
        <w:trPr>
          <w:trHeight w:val="300"/>
          <w:jc w:val="center"/>
        </w:trPr>
        <w:tc>
          <w:tcPr>
            <w:tcW w:w="1056" w:type="pct"/>
            <w:vMerge/>
            <w:tcBorders>
              <w:top w:val="nil"/>
              <w:left w:val="single" w:sz="4" w:space="0" w:color="auto"/>
              <w:bottom w:val="single" w:sz="4" w:space="0" w:color="auto"/>
              <w:right w:val="single" w:sz="8" w:space="0" w:color="auto"/>
            </w:tcBorders>
            <w:vAlign w:val="center"/>
            <w:hideMark/>
          </w:tcPr>
          <w:p w14:paraId="32BD3160" w14:textId="77777777" w:rsidR="00CA02A6" w:rsidRPr="00CA02A6" w:rsidRDefault="00CA02A6" w:rsidP="00CA02A6">
            <w:pPr>
              <w:spacing w:after="0" w:line="240" w:lineRule="auto"/>
              <w:rPr>
                <w:rFonts w:eastAsia="Times New Roman" w:cstheme="minorHAnsi"/>
                <w:color w:val="000000"/>
                <w:sz w:val="20"/>
                <w:szCs w:val="20"/>
                <w:lang w:eastAsia="es-EC"/>
              </w:rPr>
            </w:pPr>
          </w:p>
        </w:tc>
        <w:tc>
          <w:tcPr>
            <w:tcW w:w="3944" w:type="pct"/>
            <w:tcBorders>
              <w:top w:val="nil"/>
              <w:left w:val="nil"/>
              <w:bottom w:val="single" w:sz="4" w:space="0" w:color="auto"/>
              <w:right w:val="single" w:sz="4" w:space="0" w:color="auto"/>
            </w:tcBorders>
            <w:vAlign w:val="center"/>
            <w:hideMark/>
          </w:tcPr>
          <w:p w14:paraId="1F1C0AC4" w14:textId="77777777" w:rsidR="00CA02A6" w:rsidRPr="00CA02A6" w:rsidRDefault="00CA02A6" w:rsidP="00CA02A6">
            <w:pPr>
              <w:spacing w:after="0" w:line="240" w:lineRule="auto"/>
              <w:jc w:val="center"/>
              <w:rPr>
                <w:rFonts w:eastAsia="Times New Roman" w:cstheme="minorHAnsi"/>
                <w:color w:val="000000"/>
                <w:sz w:val="20"/>
                <w:szCs w:val="20"/>
                <w:lang w:eastAsia="es-EC"/>
              </w:rPr>
            </w:pPr>
            <w:proofErr w:type="spellStart"/>
            <w:r w:rsidRPr="00CA02A6">
              <w:rPr>
                <w:rFonts w:eastAsia="Times New Roman" w:cstheme="minorHAnsi"/>
                <w:color w:val="000000"/>
                <w:sz w:val="20"/>
                <w:szCs w:val="20"/>
                <w:lang w:eastAsia="es-EC"/>
              </w:rPr>
              <w:t>Kibana</w:t>
            </w:r>
            <w:proofErr w:type="spellEnd"/>
          </w:p>
        </w:tc>
      </w:tr>
    </w:tbl>
    <w:p w14:paraId="547479F2" w14:textId="77777777" w:rsidR="00CA02A6" w:rsidRPr="00160081" w:rsidRDefault="00CA02A6" w:rsidP="00160081">
      <w:pPr>
        <w:jc w:val="both"/>
        <w:rPr>
          <w:rFonts w:cstheme="minorHAnsi"/>
          <w:color w:val="000000" w:themeColor="text1"/>
          <w:sz w:val="20"/>
          <w:szCs w:val="20"/>
        </w:rPr>
      </w:pPr>
    </w:p>
    <w:p w14:paraId="5A477E49" w14:textId="77777777" w:rsidR="00160081" w:rsidRPr="00160081" w:rsidRDefault="00160081" w:rsidP="00160081">
      <w:pPr>
        <w:ind w:left="720"/>
        <w:jc w:val="both"/>
        <w:rPr>
          <w:rFonts w:cstheme="minorHAnsi"/>
          <w:color w:val="000000" w:themeColor="text1"/>
          <w:sz w:val="20"/>
          <w:szCs w:val="20"/>
        </w:rPr>
      </w:pPr>
      <w:r w:rsidRPr="00160081">
        <w:rPr>
          <w:rFonts w:cstheme="minorHAnsi"/>
          <w:color w:val="000000" w:themeColor="text1"/>
          <w:sz w:val="20"/>
          <w:szCs w:val="20"/>
        </w:rPr>
        <w:t>Para los procesos de desarrollo:</w:t>
      </w:r>
    </w:p>
    <w:p w14:paraId="03C4AC89" w14:textId="77777777" w:rsidR="00160081" w:rsidRPr="00160081" w:rsidRDefault="00160081" w:rsidP="00160081">
      <w:pPr>
        <w:ind w:left="720"/>
        <w:jc w:val="both"/>
        <w:rPr>
          <w:rFonts w:cstheme="minorHAnsi"/>
          <w:color w:val="000000" w:themeColor="text1"/>
          <w:sz w:val="20"/>
          <w:szCs w:val="20"/>
        </w:rPr>
      </w:pPr>
    </w:p>
    <w:tbl>
      <w:tblPr>
        <w:tblW w:w="7083" w:type="dxa"/>
        <w:jc w:val="center"/>
        <w:tblCellMar>
          <w:left w:w="70" w:type="dxa"/>
          <w:right w:w="70" w:type="dxa"/>
        </w:tblCellMar>
        <w:tblLook w:val="04A0" w:firstRow="1" w:lastRow="0" w:firstColumn="1" w:lastColumn="0" w:noHBand="0" w:noVBand="1"/>
      </w:tblPr>
      <w:tblGrid>
        <w:gridCol w:w="2403"/>
        <w:gridCol w:w="4680"/>
      </w:tblGrid>
      <w:tr w:rsidR="00160081" w:rsidRPr="00CA02A6" w14:paraId="1DB5B9A4" w14:textId="77777777" w:rsidTr="00CA02A6">
        <w:trPr>
          <w:trHeight w:val="414"/>
          <w:jc w:val="center"/>
        </w:trPr>
        <w:tc>
          <w:tcPr>
            <w:tcW w:w="2403" w:type="dxa"/>
            <w:tcBorders>
              <w:top w:val="single" w:sz="4" w:space="0" w:color="auto"/>
              <w:left w:val="single" w:sz="4" w:space="0" w:color="auto"/>
              <w:bottom w:val="single" w:sz="4" w:space="0" w:color="auto"/>
              <w:right w:val="single" w:sz="4" w:space="0" w:color="auto"/>
            </w:tcBorders>
            <w:vAlign w:val="center"/>
            <w:hideMark/>
          </w:tcPr>
          <w:p w14:paraId="2B1BBA78" w14:textId="77777777" w:rsidR="00160081" w:rsidRPr="00CA02A6" w:rsidRDefault="00160081" w:rsidP="00CA02A6">
            <w:pPr>
              <w:jc w:val="center"/>
              <w:rPr>
                <w:rFonts w:cstheme="minorHAnsi"/>
                <w:b/>
                <w:bCs/>
                <w:color w:val="000000" w:themeColor="text1"/>
                <w:sz w:val="20"/>
                <w:szCs w:val="20"/>
              </w:rPr>
            </w:pPr>
            <w:r w:rsidRPr="00CA02A6">
              <w:rPr>
                <w:rFonts w:cstheme="minorHAnsi"/>
                <w:b/>
                <w:bCs/>
                <w:color w:val="000000" w:themeColor="text1"/>
                <w:sz w:val="20"/>
                <w:szCs w:val="20"/>
              </w:rPr>
              <w:t>CONCEPTO</w:t>
            </w:r>
          </w:p>
        </w:tc>
        <w:tc>
          <w:tcPr>
            <w:tcW w:w="4680" w:type="dxa"/>
            <w:tcBorders>
              <w:top w:val="single" w:sz="4" w:space="0" w:color="auto"/>
              <w:left w:val="nil"/>
              <w:bottom w:val="single" w:sz="4" w:space="0" w:color="auto"/>
              <w:right w:val="single" w:sz="4" w:space="0" w:color="auto"/>
            </w:tcBorders>
            <w:noWrap/>
            <w:vAlign w:val="center"/>
            <w:hideMark/>
          </w:tcPr>
          <w:p w14:paraId="61CD57FF" w14:textId="77777777" w:rsidR="00160081" w:rsidRPr="00CA02A6" w:rsidRDefault="00160081" w:rsidP="00CA02A6">
            <w:pPr>
              <w:jc w:val="center"/>
              <w:rPr>
                <w:rFonts w:cstheme="minorHAnsi"/>
                <w:b/>
                <w:bCs/>
                <w:color w:val="000000" w:themeColor="text1"/>
                <w:sz w:val="20"/>
                <w:szCs w:val="20"/>
              </w:rPr>
            </w:pPr>
            <w:r w:rsidRPr="00CA02A6">
              <w:rPr>
                <w:rFonts w:cstheme="minorHAnsi"/>
                <w:b/>
                <w:bCs/>
                <w:color w:val="000000" w:themeColor="text1"/>
                <w:sz w:val="20"/>
                <w:szCs w:val="20"/>
              </w:rPr>
              <w:t>DISPONIBLE EN EL SRI</w:t>
            </w:r>
          </w:p>
        </w:tc>
      </w:tr>
      <w:tr w:rsidR="00160081" w:rsidRPr="00160081" w14:paraId="7AA26409" w14:textId="77777777" w:rsidTr="00BD3D91">
        <w:trPr>
          <w:trHeight w:val="341"/>
          <w:jc w:val="center"/>
        </w:trPr>
        <w:tc>
          <w:tcPr>
            <w:tcW w:w="2403" w:type="dxa"/>
            <w:tcBorders>
              <w:top w:val="single" w:sz="4" w:space="0" w:color="auto"/>
              <w:left w:val="single" w:sz="4" w:space="0" w:color="auto"/>
              <w:bottom w:val="single" w:sz="4" w:space="0" w:color="auto"/>
              <w:right w:val="single" w:sz="4" w:space="0" w:color="auto"/>
            </w:tcBorders>
            <w:vAlign w:val="center"/>
            <w:hideMark/>
          </w:tcPr>
          <w:p w14:paraId="5F9F808C" w14:textId="77777777" w:rsidR="00160081" w:rsidRPr="00160081" w:rsidRDefault="00160081" w:rsidP="00BD3D91">
            <w:pPr>
              <w:jc w:val="both"/>
              <w:rPr>
                <w:rFonts w:cstheme="minorHAnsi"/>
                <w:b/>
                <w:bCs/>
                <w:color w:val="000000" w:themeColor="text1"/>
                <w:sz w:val="20"/>
                <w:szCs w:val="20"/>
              </w:rPr>
            </w:pPr>
            <w:r w:rsidRPr="00160081">
              <w:rPr>
                <w:rFonts w:cstheme="minorHAnsi"/>
                <w:color w:val="000000" w:themeColor="text1"/>
                <w:sz w:val="20"/>
                <w:szCs w:val="20"/>
              </w:rPr>
              <w:t>Repositorios de código fuente</w:t>
            </w:r>
          </w:p>
        </w:tc>
        <w:tc>
          <w:tcPr>
            <w:tcW w:w="4680" w:type="dxa"/>
            <w:tcBorders>
              <w:top w:val="single" w:sz="4" w:space="0" w:color="auto"/>
              <w:left w:val="nil"/>
              <w:bottom w:val="single" w:sz="4" w:space="0" w:color="auto"/>
              <w:right w:val="single" w:sz="4" w:space="0" w:color="auto"/>
            </w:tcBorders>
            <w:noWrap/>
            <w:vAlign w:val="center"/>
          </w:tcPr>
          <w:p w14:paraId="05136F01" w14:textId="77777777" w:rsidR="00160081" w:rsidRPr="00160081" w:rsidRDefault="00160081" w:rsidP="00160081">
            <w:pPr>
              <w:numPr>
                <w:ilvl w:val="0"/>
                <w:numId w:val="108"/>
              </w:numPr>
              <w:spacing w:after="0" w:line="240" w:lineRule="auto"/>
              <w:jc w:val="both"/>
              <w:rPr>
                <w:rFonts w:cstheme="minorHAnsi"/>
                <w:color w:val="000000" w:themeColor="text1"/>
                <w:sz w:val="20"/>
                <w:szCs w:val="20"/>
              </w:rPr>
            </w:pPr>
            <w:proofErr w:type="spellStart"/>
            <w:r w:rsidRPr="00160081">
              <w:rPr>
                <w:rFonts w:cstheme="minorHAnsi"/>
                <w:color w:val="000000" w:themeColor="text1"/>
                <w:sz w:val="20"/>
                <w:szCs w:val="20"/>
              </w:rPr>
              <w:t>GitLab</w:t>
            </w:r>
            <w:proofErr w:type="spellEnd"/>
            <w:r w:rsidRPr="00160081">
              <w:rPr>
                <w:rFonts w:cstheme="minorHAnsi"/>
                <w:color w:val="000000" w:themeColor="text1"/>
                <w:sz w:val="20"/>
                <w:szCs w:val="20"/>
              </w:rPr>
              <w:t xml:space="preserve"> </w:t>
            </w:r>
            <w:proofErr w:type="spellStart"/>
            <w:r w:rsidRPr="00160081">
              <w:rPr>
                <w:rFonts w:cstheme="minorHAnsi"/>
                <w:color w:val="000000" w:themeColor="text1"/>
                <w:sz w:val="20"/>
                <w:szCs w:val="20"/>
              </w:rPr>
              <w:t>Community</w:t>
            </w:r>
            <w:proofErr w:type="spellEnd"/>
            <w:r w:rsidRPr="00160081">
              <w:rPr>
                <w:rFonts w:cstheme="minorHAnsi"/>
                <w:color w:val="000000" w:themeColor="text1"/>
                <w:sz w:val="20"/>
                <w:szCs w:val="20"/>
              </w:rPr>
              <w:t xml:space="preserve"> </w:t>
            </w:r>
            <w:proofErr w:type="spellStart"/>
            <w:r w:rsidRPr="00160081">
              <w:rPr>
                <w:rFonts w:cstheme="minorHAnsi"/>
                <w:color w:val="000000" w:themeColor="text1"/>
                <w:sz w:val="20"/>
                <w:szCs w:val="20"/>
              </w:rPr>
              <w:t>Edition</w:t>
            </w:r>
            <w:proofErr w:type="spellEnd"/>
            <w:r w:rsidRPr="00160081">
              <w:rPr>
                <w:rFonts w:cstheme="minorHAnsi"/>
                <w:color w:val="000000" w:themeColor="text1"/>
                <w:sz w:val="20"/>
                <w:szCs w:val="20"/>
              </w:rPr>
              <w:t xml:space="preserve"> – versión 15.9.3.</w:t>
            </w:r>
          </w:p>
          <w:p w14:paraId="55961B4E" w14:textId="77777777" w:rsidR="00160081" w:rsidRPr="00160081" w:rsidRDefault="00160081" w:rsidP="00160081">
            <w:pPr>
              <w:numPr>
                <w:ilvl w:val="0"/>
                <w:numId w:val="108"/>
              </w:numPr>
              <w:spacing w:after="0" w:line="240" w:lineRule="auto"/>
              <w:jc w:val="both"/>
              <w:rPr>
                <w:rFonts w:cstheme="minorHAnsi"/>
                <w:color w:val="000000" w:themeColor="text1"/>
                <w:sz w:val="20"/>
                <w:szCs w:val="20"/>
                <w:lang w:val="en-US"/>
              </w:rPr>
            </w:pPr>
            <w:proofErr w:type="spellStart"/>
            <w:r w:rsidRPr="00160081">
              <w:rPr>
                <w:rFonts w:cstheme="minorHAnsi"/>
                <w:color w:val="000000" w:themeColor="text1"/>
                <w:sz w:val="20"/>
                <w:szCs w:val="20"/>
                <w:lang w:val="en-US"/>
              </w:rPr>
              <w:t>Sonatype</w:t>
            </w:r>
            <w:proofErr w:type="spellEnd"/>
            <w:r w:rsidRPr="00160081">
              <w:rPr>
                <w:rFonts w:cstheme="minorHAnsi"/>
                <w:color w:val="000000" w:themeColor="text1"/>
                <w:sz w:val="20"/>
                <w:szCs w:val="20"/>
                <w:lang w:val="en-US"/>
              </w:rPr>
              <w:t xml:space="preserve"> Nexus Repository – version OSS 3.62.0-01</w:t>
            </w:r>
          </w:p>
        </w:tc>
      </w:tr>
      <w:tr w:rsidR="00160081" w:rsidRPr="00160081" w14:paraId="0B576EC1" w14:textId="77777777" w:rsidTr="00BD3D91">
        <w:trPr>
          <w:trHeight w:val="523"/>
          <w:jc w:val="center"/>
        </w:trPr>
        <w:tc>
          <w:tcPr>
            <w:tcW w:w="2403" w:type="dxa"/>
            <w:tcBorders>
              <w:top w:val="single" w:sz="4" w:space="0" w:color="auto"/>
              <w:left w:val="single" w:sz="4" w:space="0" w:color="auto"/>
              <w:bottom w:val="single" w:sz="4" w:space="0" w:color="auto"/>
              <w:right w:val="single" w:sz="4" w:space="0" w:color="auto"/>
            </w:tcBorders>
            <w:vAlign w:val="center"/>
            <w:hideMark/>
          </w:tcPr>
          <w:p w14:paraId="42E4B244" w14:textId="77777777" w:rsidR="00160081" w:rsidRPr="00160081" w:rsidRDefault="00160081" w:rsidP="00BD3D91">
            <w:pPr>
              <w:jc w:val="both"/>
              <w:rPr>
                <w:rFonts w:cstheme="minorHAnsi"/>
                <w:color w:val="000000" w:themeColor="text1"/>
                <w:sz w:val="20"/>
                <w:szCs w:val="20"/>
              </w:rPr>
            </w:pPr>
            <w:r w:rsidRPr="00160081">
              <w:rPr>
                <w:rFonts w:cstheme="minorHAnsi"/>
                <w:color w:val="000000" w:themeColor="text1"/>
                <w:sz w:val="20"/>
                <w:szCs w:val="20"/>
              </w:rPr>
              <w:t xml:space="preserve">Pruebas </w:t>
            </w:r>
          </w:p>
        </w:tc>
        <w:tc>
          <w:tcPr>
            <w:tcW w:w="4680" w:type="dxa"/>
            <w:tcBorders>
              <w:top w:val="single" w:sz="4" w:space="0" w:color="auto"/>
              <w:left w:val="nil"/>
              <w:bottom w:val="single" w:sz="4" w:space="0" w:color="auto"/>
              <w:right w:val="single" w:sz="4" w:space="0" w:color="auto"/>
            </w:tcBorders>
            <w:vAlign w:val="center"/>
            <w:hideMark/>
          </w:tcPr>
          <w:p w14:paraId="5A97C46D" w14:textId="77777777" w:rsidR="00160081" w:rsidRPr="00160081" w:rsidRDefault="00160081" w:rsidP="00BD3D91">
            <w:pPr>
              <w:jc w:val="both"/>
              <w:rPr>
                <w:rFonts w:cstheme="minorHAnsi"/>
                <w:b/>
                <w:bCs/>
                <w:color w:val="000000" w:themeColor="text1"/>
                <w:sz w:val="20"/>
                <w:szCs w:val="20"/>
              </w:rPr>
            </w:pPr>
            <w:r w:rsidRPr="00160081">
              <w:rPr>
                <w:rFonts w:cstheme="minorHAnsi"/>
                <w:color w:val="000000" w:themeColor="text1"/>
                <w:sz w:val="20"/>
                <w:szCs w:val="20"/>
              </w:rPr>
              <w:t xml:space="preserve">De código estático y cobertura de pruebas unitarias se realizan con la herramienta </w:t>
            </w:r>
            <w:proofErr w:type="spellStart"/>
            <w:r w:rsidRPr="00160081">
              <w:rPr>
                <w:rFonts w:cstheme="minorHAnsi"/>
                <w:color w:val="000000" w:themeColor="text1"/>
                <w:sz w:val="20"/>
                <w:szCs w:val="20"/>
              </w:rPr>
              <w:t>Sonarqube</w:t>
            </w:r>
            <w:proofErr w:type="spellEnd"/>
            <w:r w:rsidRPr="00160081">
              <w:rPr>
                <w:rFonts w:cstheme="minorHAnsi"/>
                <w:color w:val="000000" w:themeColor="text1"/>
                <w:sz w:val="20"/>
                <w:szCs w:val="20"/>
              </w:rPr>
              <w:t xml:space="preserve"> 8.9</w:t>
            </w:r>
          </w:p>
        </w:tc>
      </w:tr>
    </w:tbl>
    <w:p w14:paraId="34409DD5" w14:textId="77777777" w:rsidR="00160081" w:rsidRPr="00160081" w:rsidRDefault="00160081" w:rsidP="00160081">
      <w:pPr>
        <w:ind w:left="720"/>
        <w:jc w:val="both"/>
        <w:rPr>
          <w:rFonts w:cstheme="minorHAnsi"/>
          <w:color w:val="000000" w:themeColor="text1"/>
          <w:sz w:val="20"/>
          <w:szCs w:val="20"/>
        </w:rPr>
      </w:pPr>
    </w:p>
    <w:p w14:paraId="2DF3C54E" w14:textId="77777777" w:rsidR="00160081" w:rsidRPr="00160081" w:rsidRDefault="00160081" w:rsidP="00160081">
      <w:pPr>
        <w:pStyle w:val="Ttulo2"/>
        <w:numPr>
          <w:ilvl w:val="1"/>
          <w:numId w:val="157"/>
        </w:numPr>
        <w:ind w:left="1440" w:hanging="360"/>
        <w:rPr>
          <w:rFonts w:asciiTheme="minorHAnsi" w:eastAsia="Times New Roman" w:hAnsiTheme="minorHAnsi" w:cstheme="minorHAnsi"/>
          <w:b/>
          <w:bCs/>
          <w:color w:val="auto"/>
          <w:sz w:val="20"/>
          <w:szCs w:val="20"/>
        </w:rPr>
      </w:pPr>
      <w:bookmarkStart w:id="22" w:name="OLE_LINK28"/>
      <w:r w:rsidRPr="00160081">
        <w:rPr>
          <w:rFonts w:asciiTheme="minorHAnsi" w:eastAsia="Times New Roman" w:hAnsiTheme="minorHAnsi" w:cstheme="minorHAnsi"/>
          <w:b/>
          <w:bCs/>
          <w:color w:val="auto"/>
          <w:sz w:val="20"/>
          <w:szCs w:val="20"/>
        </w:rPr>
        <w:t>Capacidad y demanda actual - proyectada</w:t>
      </w:r>
      <w:bookmarkEnd w:id="22"/>
    </w:p>
    <w:p w14:paraId="7BE4FB67" w14:textId="77777777" w:rsidR="00160081" w:rsidRPr="00160081" w:rsidRDefault="00160081" w:rsidP="00160081">
      <w:pPr>
        <w:ind w:left="720"/>
        <w:rPr>
          <w:rFonts w:eastAsia="Arial Unicode MS" w:cstheme="minorHAnsi"/>
          <w:color w:val="000000" w:themeColor="text1"/>
          <w:sz w:val="20"/>
          <w:szCs w:val="20"/>
        </w:rPr>
      </w:pPr>
    </w:p>
    <w:p w14:paraId="1A8D95DB" w14:textId="77777777" w:rsidR="00160081" w:rsidRPr="00160081" w:rsidRDefault="00160081" w:rsidP="00160081">
      <w:pPr>
        <w:ind w:left="720"/>
        <w:rPr>
          <w:rFonts w:eastAsia="Arial Unicode MS" w:cstheme="minorHAnsi"/>
          <w:color w:val="000000" w:themeColor="text1"/>
          <w:sz w:val="20"/>
          <w:szCs w:val="20"/>
        </w:rPr>
      </w:pPr>
      <w:r w:rsidRPr="00160081">
        <w:rPr>
          <w:rFonts w:eastAsia="Arial Unicode MS" w:cstheme="minorHAnsi"/>
          <w:color w:val="000000" w:themeColor="text1"/>
          <w:sz w:val="20"/>
          <w:szCs w:val="20"/>
        </w:rPr>
        <w:t>A continuación, se detalla tanto la capacidad como la demanda actual - proyectada para los casos de uso a implementar en la suite tecnológica integral, según lo descrito en el Anexo 1, la matriz contiene:</w:t>
      </w:r>
    </w:p>
    <w:p w14:paraId="4A99D53F"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Componente:</w:t>
      </w:r>
      <w:r w:rsidRPr="00160081">
        <w:rPr>
          <w:rFonts w:cstheme="minorHAnsi"/>
          <w:color w:val="000000"/>
          <w:sz w:val="20"/>
          <w:szCs w:val="20"/>
        </w:rPr>
        <w:t xml:space="preserve"> Corresponde al componente de la suite para la automatización del proceso.</w:t>
      </w:r>
    </w:p>
    <w:p w14:paraId="0A96B8C4"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Actividades del proceso:</w:t>
      </w:r>
      <w:r w:rsidRPr="00160081">
        <w:rPr>
          <w:rFonts w:cstheme="minorHAnsi"/>
          <w:color w:val="000000"/>
          <w:sz w:val="20"/>
          <w:szCs w:val="20"/>
        </w:rPr>
        <w:t xml:space="preserve"> Se detalla el tipo y número de actividades dentro del proceso. </w:t>
      </w:r>
    </w:p>
    <w:p w14:paraId="533AF9BD"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Volumen:</w:t>
      </w:r>
      <w:r w:rsidRPr="00160081">
        <w:rPr>
          <w:rFonts w:cstheme="minorHAnsi"/>
          <w:color w:val="000000"/>
          <w:sz w:val="20"/>
          <w:szCs w:val="20"/>
        </w:rPr>
        <w:t xml:space="preserve"> Número de instancias ejecutadas al año y proyectadas a 3 y 5 años.</w:t>
      </w:r>
    </w:p>
    <w:p w14:paraId="188BACE4"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Tamaño (KB):</w:t>
      </w:r>
      <w:r w:rsidRPr="00160081">
        <w:rPr>
          <w:rFonts w:cstheme="minorHAnsi"/>
          <w:color w:val="000000"/>
          <w:sz w:val="20"/>
          <w:szCs w:val="20"/>
        </w:rPr>
        <w:t xml:space="preserve"> Corresponde al tamaño de los archivos por caso.</w:t>
      </w:r>
    </w:p>
    <w:p w14:paraId="41746984"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Procesamiento y complejidad:</w:t>
      </w:r>
      <w:r w:rsidRPr="00160081">
        <w:rPr>
          <w:rFonts w:cstheme="minorHAnsi"/>
          <w:color w:val="000000"/>
          <w:sz w:val="20"/>
          <w:szCs w:val="20"/>
        </w:rPr>
        <w:t xml:space="preserve"> Se detalla el número de usuarios, usuarios concurrentes y nivel de complejidad.</w:t>
      </w:r>
    </w:p>
    <w:p w14:paraId="2A00B9C2" w14:textId="77777777" w:rsidR="00160081" w:rsidRPr="00160081" w:rsidRDefault="00160081" w:rsidP="00160081">
      <w:pPr>
        <w:pStyle w:val="Prrafodelista"/>
        <w:numPr>
          <w:ilvl w:val="0"/>
          <w:numId w:val="131"/>
        </w:numPr>
        <w:tabs>
          <w:tab w:val="left" w:pos="2635"/>
        </w:tabs>
        <w:spacing w:after="0" w:line="240" w:lineRule="auto"/>
        <w:ind w:left="1515"/>
        <w:rPr>
          <w:rFonts w:cstheme="minorHAnsi"/>
          <w:color w:val="000000"/>
          <w:sz w:val="20"/>
          <w:szCs w:val="20"/>
        </w:rPr>
      </w:pPr>
      <w:r w:rsidRPr="00160081">
        <w:rPr>
          <w:rFonts w:cstheme="minorHAnsi"/>
          <w:b/>
          <w:bCs/>
          <w:color w:val="000000"/>
          <w:sz w:val="20"/>
          <w:szCs w:val="20"/>
        </w:rPr>
        <w:t>Reglas de Negocio:</w:t>
      </w:r>
      <w:r w:rsidRPr="00160081">
        <w:rPr>
          <w:rFonts w:cstheme="minorHAnsi"/>
          <w:color w:val="000000"/>
          <w:sz w:val="20"/>
          <w:szCs w:val="20"/>
        </w:rPr>
        <w:t xml:space="preserve"> Cantidad de reglas establecidas para el proceso</w:t>
      </w:r>
    </w:p>
    <w:p w14:paraId="78E301EB" w14:textId="77777777" w:rsidR="00160081" w:rsidRPr="00160081" w:rsidRDefault="00160081" w:rsidP="00160081">
      <w:pPr>
        <w:ind w:left="720"/>
        <w:rPr>
          <w:rFonts w:eastAsia="Arial Unicode MS" w:cstheme="minorHAnsi"/>
          <w:color w:val="000000" w:themeColor="text1"/>
          <w:sz w:val="20"/>
          <w:szCs w:val="20"/>
        </w:rPr>
      </w:pPr>
    </w:p>
    <w:p w14:paraId="37CD8849" w14:textId="77777777" w:rsidR="00160081" w:rsidRPr="00160081" w:rsidRDefault="00160081" w:rsidP="00160081">
      <w:pPr>
        <w:pStyle w:val="Ttulo2"/>
        <w:numPr>
          <w:ilvl w:val="0"/>
          <w:numId w:val="132"/>
        </w:numPr>
        <w:tabs>
          <w:tab w:val="num" w:pos="720"/>
        </w:tabs>
        <w:ind w:left="1080"/>
        <w:rPr>
          <w:rFonts w:asciiTheme="minorHAnsi" w:eastAsia="Times New Roman" w:hAnsiTheme="minorHAnsi" w:cstheme="minorHAnsi"/>
          <w:b/>
          <w:bCs/>
          <w:color w:val="auto"/>
          <w:sz w:val="20"/>
          <w:szCs w:val="20"/>
        </w:rPr>
      </w:pPr>
      <w:bookmarkStart w:id="23" w:name="_Toc217326204"/>
      <w:r w:rsidRPr="00160081">
        <w:rPr>
          <w:rFonts w:asciiTheme="minorHAnsi" w:eastAsia="Times New Roman" w:hAnsiTheme="minorHAnsi" w:cstheme="minorHAnsi"/>
          <w:b/>
          <w:bCs/>
          <w:color w:val="auto"/>
          <w:sz w:val="20"/>
          <w:szCs w:val="20"/>
        </w:rPr>
        <w:t>Metodología de Trabajo</w:t>
      </w:r>
      <w:bookmarkEnd w:id="23"/>
    </w:p>
    <w:p w14:paraId="62F2325B" w14:textId="77777777" w:rsidR="00160081" w:rsidRPr="00160081" w:rsidRDefault="00160081" w:rsidP="00160081">
      <w:pPr>
        <w:ind w:left="720"/>
        <w:jc w:val="both"/>
        <w:outlineLvl w:val="0"/>
        <w:rPr>
          <w:rFonts w:cstheme="minorHAnsi"/>
          <w:kern w:val="36"/>
          <w:sz w:val="20"/>
          <w:szCs w:val="20"/>
        </w:rPr>
      </w:pPr>
    </w:p>
    <w:p w14:paraId="0082C519" w14:textId="77777777" w:rsidR="00160081" w:rsidRPr="00160081" w:rsidRDefault="00160081" w:rsidP="00160081">
      <w:pPr>
        <w:ind w:left="720"/>
        <w:jc w:val="both"/>
        <w:rPr>
          <w:rFonts w:eastAsia="Microsoft YaHei" w:cstheme="minorHAnsi"/>
          <w:sz w:val="20"/>
          <w:szCs w:val="20"/>
        </w:rPr>
      </w:pPr>
      <w:r w:rsidRPr="00160081">
        <w:rPr>
          <w:rFonts w:eastAsia="Microsoft YaHei" w:cstheme="minorHAnsi"/>
          <w:sz w:val="20"/>
          <w:szCs w:val="20"/>
        </w:rPr>
        <w:t>Una vez suscrito el contrato, el contratista deberá presentar y ejecutar una Metodología de Trabajo formal, detallada y coherente con los requerimientos establecidos en los presentes Términos de Referencia, la cual deberá ser entregada al SRI para su revisión y aprobación dentro de los plazos contractuales establecidos.</w:t>
      </w:r>
    </w:p>
    <w:p w14:paraId="4E141766" w14:textId="77777777" w:rsidR="00160081" w:rsidRPr="00160081" w:rsidRDefault="00160081" w:rsidP="00160081">
      <w:pPr>
        <w:ind w:left="720"/>
        <w:jc w:val="both"/>
        <w:rPr>
          <w:rFonts w:eastAsia="Microsoft YaHei" w:cstheme="minorHAnsi"/>
          <w:sz w:val="20"/>
          <w:szCs w:val="20"/>
        </w:rPr>
      </w:pPr>
      <w:r w:rsidRPr="00160081">
        <w:rPr>
          <w:rFonts w:eastAsia="Microsoft YaHei" w:cstheme="minorHAnsi"/>
          <w:sz w:val="20"/>
          <w:szCs w:val="20"/>
        </w:rPr>
        <w:t>La Metodología de Trabajo tendrá carácter obligatorio y deberá cubrir por lo menos con lo indicado en las fases descritas en esta sección, estableciendo para cada una de ellas: objetivos, actividades, entregables, responsables, dependencias, criterios de aceptación y mecanismos de control.</w:t>
      </w:r>
    </w:p>
    <w:p w14:paraId="6CD1605C" w14:textId="77777777" w:rsidR="00160081" w:rsidRPr="00160081" w:rsidRDefault="00160081" w:rsidP="00160081">
      <w:pPr>
        <w:ind w:left="720"/>
        <w:jc w:val="both"/>
        <w:rPr>
          <w:rFonts w:eastAsia="Microsoft YaHei" w:cstheme="minorHAnsi"/>
          <w:sz w:val="20"/>
          <w:szCs w:val="20"/>
        </w:rPr>
      </w:pPr>
      <w:r w:rsidRPr="00160081">
        <w:rPr>
          <w:rFonts w:eastAsia="Microsoft YaHei" w:cstheme="minorHAnsi"/>
          <w:sz w:val="20"/>
          <w:szCs w:val="20"/>
        </w:rPr>
        <w:t>El contratista será responsable de asegurar que la metodología propuesta:</w:t>
      </w:r>
    </w:p>
    <w:p w14:paraId="376AA188" w14:textId="77777777" w:rsidR="00160081" w:rsidRPr="00160081" w:rsidRDefault="00160081" w:rsidP="00160081">
      <w:pPr>
        <w:ind w:left="720"/>
        <w:jc w:val="both"/>
        <w:rPr>
          <w:rFonts w:eastAsia="Microsoft YaHei" w:cstheme="minorHAnsi"/>
          <w:sz w:val="20"/>
          <w:szCs w:val="20"/>
        </w:rPr>
      </w:pPr>
    </w:p>
    <w:p w14:paraId="10C3BED8"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 xml:space="preserve">Sea compatible con un modelo de solución </w:t>
      </w:r>
      <w:proofErr w:type="spellStart"/>
      <w:r w:rsidRPr="00160081">
        <w:rPr>
          <w:rFonts w:eastAsia="Microsoft YaHei" w:cstheme="minorHAnsi"/>
          <w:sz w:val="20"/>
          <w:szCs w:val="20"/>
        </w:rPr>
        <w:t>on</w:t>
      </w:r>
      <w:proofErr w:type="spellEnd"/>
      <w:r w:rsidRPr="00160081">
        <w:rPr>
          <w:rFonts w:eastAsia="Microsoft YaHei" w:cstheme="minorHAnsi"/>
          <w:sz w:val="20"/>
          <w:szCs w:val="20"/>
        </w:rPr>
        <w:t>-premise</w:t>
      </w:r>
    </w:p>
    <w:p w14:paraId="407D0F2E"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Garantice trazabilidad de actividades, decisiones y entregables</w:t>
      </w:r>
    </w:p>
    <w:p w14:paraId="18BC1FB8"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Se articule con los mecanismos de soporte, mantenimiento, control de cambios y ANS definidos en el contrato</w:t>
      </w:r>
    </w:p>
    <w:p w14:paraId="04199EAE"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Permita la ejecución ordenada de nuevos requerimientos durante la vigencia contractual</w:t>
      </w:r>
    </w:p>
    <w:p w14:paraId="65E91B9A"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Sea metodología ágil e iterativa, se trabaje en función de backlog de casos de uso y se tengan demos periódicas</w:t>
      </w:r>
    </w:p>
    <w:p w14:paraId="3AD4CB19" w14:textId="77777777" w:rsidR="00160081" w:rsidRPr="00160081" w:rsidRDefault="00160081" w:rsidP="00160081">
      <w:pPr>
        <w:numPr>
          <w:ilvl w:val="0"/>
          <w:numId w:val="63"/>
        </w:numPr>
        <w:tabs>
          <w:tab w:val="clear" w:pos="720"/>
          <w:tab w:val="num" w:pos="1440"/>
        </w:tabs>
        <w:spacing w:after="0" w:line="240" w:lineRule="auto"/>
        <w:ind w:left="1440"/>
        <w:jc w:val="both"/>
        <w:rPr>
          <w:rFonts w:eastAsia="Microsoft YaHei" w:cstheme="minorHAnsi"/>
          <w:sz w:val="20"/>
          <w:szCs w:val="20"/>
        </w:rPr>
      </w:pPr>
      <w:r w:rsidRPr="00160081">
        <w:rPr>
          <w:rFonts w:eastAsia="Microsoft YaHei" w:cstheme="minorHAnsi"/>
          <w:sz w:val="20"/>
          <w:szCs w:val="20"/>
        </w:rPr>
        <w:t>Apoyo en las pruebas de las integraciones y convivencias definidas dentro de los casos de uso</w:t>
      </w:r>
    </w:p>
    <w:p w14:paraId="108043FE" w14:textId="77777777" w:rsidR="00160081" w:rsidRPr="00160081" w:rsidRDefault="00160081" w:rsidP="00160081">
      <w:pPr>
        <w:spacing w:line="276" w:lineRule="auto"/>
        <w:ind w:left="720"/>
        <w:jc w:val="both"/>
        <w:rPr>
          <w:rFonts w:cstheme="minorHAnsi"/>
          <w:b/>
          <w:bCs/>
          <w:sz w:val="20"/>
          <w:szCs w:val="20"/>
        </w:rPr>
      </w:pPr>
    </w:p>
    <w:p w14:paraId="23BD2CCF" w14:textId="77777777" w:rsidR="00160081" w:rsidRPr="00CA02A6" w:rsidRDefault="00160081" w:rsidP="00CA02A6">
      <w:pPr>
        <w:pStyle w:val="Ttulo2"/>
        <w:numPr>
          <w:ilvl w:val="1"/>
          <w:numId w:val="134"/>
        </w:numPr>
        <w:tabs>
          <w:tab w:val="num" w:pos="1440"/>
        </w:tabs>
        <w:ind w:left="993"/>
        <w:jc w:val="both"/>
        <w:rPr>
          <w:rFonts w:asciiTheme="minorHAnsi" w:hAnsiTheme="minorHAnsi" w:cstheme="minorHAnsi"/>
          <w:b/>
          <w:bCs/>
          <w:color w:val="auto"/>
          <w:sz w:val="20"/>
          <w:szCs w:val="20"/>
        </w:rPr>
      </w:pPr>
      <w:r w:rsidRPr="00CA02A6">
        <w:rPr>
          <w:rFonts w:asciiTheme="minorHAnsi" w:eastAsia="Times New Roman" w:hAnsiTheme="minorHAnsi" w:cstheme="minorHAnsi"/>
          <w:b/>
          <w:bCs/>
          <w:color w:val="auto"/>
          <w:sz w:val="20"/>
          <w:szCs w:val="20"/>
        </w:rPr>
        <w:t>Definición de las Fases de la Metodología de Trabajo</w:t>
      </w:r>
    </w:p>
    <w:p w14:paraId="2B6CCA42" w14:textId="77777777" w:rsidR="00160081" w:rsidRPr="00160081" w:rsidRDefault="00160081" w:rsidP="00160081">
      <w:pPr>
        <w:ind w:left="720"/>
        <w:jc w:val="both"/>
        <w:rPr>
          <w:rFonts w:cstheme="minorHAnsi"/>
          <w:sz w:val="20"/>
          <w:szCs w:val="20"/>
        </w:rPr>
      </w:pPr>
    </w:p>
    <w:p w14:paraId="0797FD47" w14:textId="77777777" w:rsidR="00160081" w:rsidRPr="00160081" w:rsidRDefault="00160081" w:rsidP="00160081">
      <w:pPr>
        <w:pStyle w:val="NormalWeb"/>
        <w:spacing w:after="0"/>
        <w:ind w:left="720"/>
        <w:jc w:val="both"/>
        <w:rPr>
          <w:rFonts w:asciiTheme="minorHAnsi" w:hAnsiTheme="minorHAnsi" w:cstheme="minorHAnsi"/>
          <w:color w:val="000000" w:themeColor="text1"/>
          <w:sz w:val="20"/>
          <w:szCs w:val="20"/>
        </w:rPr>
      </w:pPr>
      <w:r w:rsidRPr="00160081">
        <w:rPr>
          <w:rFonts w:asciiTheme="minorHAnsi" w:hAnsiTheme="minorHAnsi" w:cstheme="minorHAnsi"/>
          <w:color w:val="000000" w:themeColor="text1"/>
          <w:sz w:val="20"/>
          <w:szCs w:val="20"/>
        </w:rPr>
        <w:t>La metodología de trabajo del proyecto deberá estructurar en cuatro fases secuenciales y complementarias, cuyo cumplimiento es obligatorio para el contratista y condiciona la aceptación de los entregables asociados. Cada fase tiene objetivos específicos, actividades claramente delimitadas y resultados verificables, conforme a los requerimientos técnicos, funcionales y no funcionales establecidos en el presente documento.</w:t>
      </w:r>
    </w:p>
    <w:p w14:paraId="6CDC4237" w14:textId="77777777" w:rsidR="00160081" w:rsidRPr="00160081" w:rsidRDefault="00160081" w:rsidP="00160081">
      <w:pPr>
        <w:pStyle w:val="NormalWeb"/>
        <w:spacing w:after="0"/>
        <w:ind w:left="720"/>
        <w:jc w:val="both"/>
        <w:rPr>
          <w:rFonts w:asciiTheme="minorHAnsi" w:hAnsiTheme="minorHAnsi" w:cstheme="minorHAnsi"/>
          <w:color w:val="000000" w:themeColor="text1"/>
          <w:sz w:val="20"/>
          <w:szCs w:val="20"/>
        </w:rPr>
      </w:pPr>
    </w:p>
    <w:p w14:paraId="58E52560" w14:textId="77777777" w:rsidR="00160081" w:rsidRPr="00160081" w:rsidRDefault="00160081" w:rsidP="00160081">
      <w:pPr>
        <w:pStyle w:val="NormalWeb"/>
        <w:spacing w:after="0"/>
        <w:ind w:left="720"/>
        <w:jc w:val="both"/>
        <w:rPr>
          <w:rFonts w:asciiTheme="minorHAnsi" w:hAnsiTheme="minorHAnsi" w:cstheme="minorHAnsi"/>
          <w:color w:val="000000" w:themeColor="text1"/>
          <w:sz w:val="20"/>
          <w:szCs w:val="20"/>
        </w:rPr>
      </w:pPr>
    </w:p>
    <w:p w14:paraId="69D7B534" w14:textId="77777777" w:rsidR="00160081" w:rsidRPr="00160081" w:rsidRDefault="00160081" w:rsidP="00160081">
      <w:pPr>
        <w:ind w:left="720"/>
        <w:jc w:val="both"/>
        <w:rPr>
          <w:rFonts w:cstheme="minorHAnsi"/>
          <w:b/>
          <w:bCs/>
          <w:sz w:val="20"/>
          <w:szCs w:val="20"/>
        </w:rPr>
      </w:pPr>
      <w:r w:rsidRPr="00160081">
        <w:rPr>
          <w:rFonts w:cstheme="minorHAnsi"/>
          <w:b/>
          <w:bCs/>
          <w:sz w:val="20"/>
          <w:szCs w:val="20"/>
        </w:rPr>
        <w:t>5.1.1 Descripción de las fases de la metodología de trabajo</w:t>
      </w:r>
    </w:p>
    <w:p w14:paraId="134F8A39" w14:textId="77777777" w:rsidR="00160081" w:rsidRPr="00160081" w:rsidRDefault="00160081" w:rsidP="00160081">
      <w:pPr>
        <w:ind w:left="720"/>
        <w:jc w:val="both"/>
        <w:rPr>
          <w:rFonts w:cstheme="minorHAnsi"/>
          <w:b/>
          <w:bCs/>
          <w:sz w:val="20"/>
          <w:szCs w:val="20"/>
        </w:rPr>
      </w:pPr>
    </w:p>
    <w:p w14:paraId="6D76699F" w14:textId="77777777" w:rsidR="00160081" w:rsidRPr="00160081" w:rsidRDefault="00160081" w:rsidP="00160081">
      <w:pPr>
        <w:ind w:left="1440"/>
        <w:rPr>
          <w:rFonts w:cstheme="minorHAnsi"/>
          <w:b/>
          <w:bCs/>
          <w:sz w:val="20"/>
          <w:szCs w:val="20"/>
          <w:lang w:val="es-ES"/>
        </w:rPr>
      </w:pPr>
      <w:r w:rsidRPr="00160081">
        <w:rPr>
          <w:rFonts w:cstheme="minorHAnsi"/>
          <w:b/>
          <w:bCs/>
          <w:sz w:val="20"/>
          <w:szCs w:val="20"/>
          <w:lang w:val="es-ES"/>
        </w:rPr>
        <w:t>Fase 1. Planeación y alcance</w:t>
      </w:r>
    </w:p>
    <w:p w14:paraId="2181E300"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La Fase 1 tiene como objetivo establecer las bases técnicas, funcionales, y operativas para la correcta implementación de la suite tecnológica integral. En esta fase, el contratista deberá definir y documentar de manera detallada conforme el alcance del proyecto definido, los entregables comprometidos, los criterios de aceptación en función de los requerimientos funcionales entregados por el SRI, la arquitectura de la solución que deberá estar alineada a la arquitectura de referencia entregada por el SRI, el dimensionamiento de la capacidad de infraestructura tecnológica y licenciamiento de software base requerida para la solución, el cronograma de ejecución, los costos asociados y la composición del equipo de trabajo. Asimismo, deberá presentar los planes y procedimientos de calidad, seguridad, gestión de riesgos, comunicaciones, integración y convivencia con sistemas legados, capacitación técnica y funcional y gestión de partes interesadas, asegurando la alineación con las necesidades institucionales del SRI y las mejores prácticas de la industria. Esta fase culmina con la aprobación formal por parte del SRI de la documentación base que regirá la ejecución del proyecto.</w:t>
      </w:r>
    </w:p>
    <w:p w14:paraId="0EEE4E25" w14:textId="77777777" w:rsidR="00160081" w:rsidRPr="00160081" w:rsidRDefault="00160081" w:rsidP="00160081">
      <w:pPr>
        <w:ind w:left="720"/>
        <w:jc w:val="both"/>
        <w:rPr>
          <w:rFonts w:cstheme="minorHAnsi"/>
          <w:sz w:val="20"/>
          <w:szCs w:val="20"/>
          <w:lang w:val="es-ES"/>
        </w:rPr>
      </w:pPr>
    </w:p>
    <w:p w14:paraId="67389E6E"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 xml:space="preserve">La entrega de los casos de uso se realizará de manera incremental, con liberaciones parciales en ambientes no productivos, productivos y de contingencia, garantizando trazabilidad completa, documentación asociada y cumplimiento de los criterios de aceptación definidos en el numeral </w:t>
      </w:r>
      <w:r w:rsidRPr="00160081">
        <w:rPr>
          <w:rFonts w:cstheme="minorHAnsi"/>
          <w:color w:val="000000" w:themeColor="text1"/>
          <w:sz w:val="20"/>
          <w:szCs w:val="20"/>
          <w:lang w:val="es-ES"/>
        </w:rPr>
        <w:t>9.4.4 Criterios de aceptación.</w:t>
      </w:r>
    </w:p>
    <w:p w14:paraId="0222DC9F" w14:textId="77777777" w:rsidR="00160081" w:rsidRPr="00160081" w:rsidRDefault="00160081" w:rsidP="00160081">
      <w:pPr>
        <w:ind w:left="720"/>
        <w:jc w:val="both"/>
        <w:outlineLvl w:val="1"/>
        <w:rPr>
          <w:rFonts w:cstheme="minorHAnsi"/>
          <w:b/>
          <w:bCs/>
          <w:sz w:val="20"/>
          <w:szCs w:val="20"/>
          <w:lang w:val="es-ES"/>
        </w:rPr>
      </w:pPr>
    </w:p>
    <w:p w14:paraId="0E768081" w14:textId="77777777" w:rsidR="00160081" w:rsidRPr="00160081" w:rsidRDefault="00160081" w:rsidP="00160081">
      <w:pPr>
        <w:ind w:left="1440"/>
        <w:rPr>
          <w:rFonts w:cstheme="minorHAnsi"/>
          <w:b/>
          <w:bCs/>
          <w:sz w:val="20"/>
          <w:szCs w:val="20"/>
          <w:lang w:val="es-ES"/>
        </w:rPr>
      </w:pPr>
      <w:r w:rsidRPr="00160081">
        <w:rPr>
          <w:rFonts w:cstheme="minorHAnsi"/>
          <w:b/>
          <w:bCs/>
          <w:sz w:val="20"/>
          <w:szCs w:val="20"/>
          <w:lang w:val="es-ES"/>
        </w:rPr>
        <w:t>Fase 2. Habilitación del servicio</w:t>
      </w:r>
    </w:p>
    <w:p w14:paraId="0E1B5E6C"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La Fase 2 está orientada a la habilitación integral del servicio y a la preparación operativa de la suite tecnológica integral. En esta fase, el contratista será responsable del aprovisionamiento, instalación, configuración y parametrización inicial de todos los componentes de la solución (BPMS, BRMS, ECM, SGRT y módulos complementarios), así como de sus dependencias técnicas, mecanismos de integración, seguridad, monitoreo y auditoría. La habilitación deberá realizarse en los ambientes definidos por el SRI, garantizando interoperabilidad, estabilidad y cumplimiento de los requerimientos técnicos y no funcionales. La fase concluye con la notificación formal de “solución lista” y la validación por parte del SRI de que la plataforma se encuentra plenamente operativa.</w:t>
      </w:r>
    </w:p>
    <w:p w14:paraId="4B02100E" w14:textId="77777777" w:rsidR="00160081" w:rsidRPr="00160081" w:rsidRDefault="00160081" w:rsidP="00160081">
      <w:pPr>
        <w:ind w:left="720"/>
        <w:jc w:val="both"/>
        <w:rPr>
          <w:rFonts w:cstheme="minorHAnsi"/>
          <w:sz w:val="20"/>
          <w:szCs w:val="20"/>
          <w:lang w:val="es-ES"/>
        </w:rPr>
      </w:pPr>
    </w:p>
    <w:p w14:paraId="292EB31E" w14:textId="77777777" w:rsidR="00160081" w:rsidRPr="00160081" w:rsidRDefault="00160081" w:rsidP="00160081">
      <w:pPr>
        <w:ind w:left="1440"/>
        <w:rPr>
          <w:rFonts w:cstheme="minorHAnsi"/>
          <w:b/>
          <w:bCs/>
          <w:sz w:val="20"/>
          <w:szCs w:val="20"/>
          <w:lang w:val="es-ES"/>
        </w:rPr>
      </w:pPr>
      <w:bookmarkStart w:id="24" w:name="OLE_LINK80"/>
      <w:r w:rsidRPr="00160081">
        <w:rPr>
          <w:rFonts w:cstheme="minorHAnsi"/>
          <w:b/>
          <w:bCs/>
          <w:sz w:val="20"/>
          <w:szCs w:val="20"/>
          <w:lang w:val="es-ES"/>
        </w:rPr>
        <w:t xml:space="preserve">Fase 3.  Transferencia de conocimiento </w:t>
      </w:r>
    </w:p>
    <w:p w14:paraId="5D3E4B06" w14:textId="77777777" w:rsidR="00160081" w:rsidRPr="00160081" w:rsidRDefault="00160081" w:rsidP="00160081">
      <w:pPr>
        <w:ind w:left="720"/>
        <w:jc w:val="both"/>
        <w:rPr>
          <w:rFonts w:cstheme="minorHAnsi"/>
          <w:sz w:val="20"/>
          <w:szCs w:val="20"/>
          <w:lang w:val="es-ES"/>
        </w:rPr>
      </w:pPr>
      <w:bookmarkStart w:id="25" w:name="OLE_LINK81"/>
      <w:bookmarkEnd w:id="24"/>
      <w:r w:rsidRPr="00160081">
        <w:rPr>
          <w:rFonts w:cstheme="minorHAnsi"/>
          <w:sz w:val="20"/>
          <w:szCs w:val="20"/>
          <w:lang w:val="es-ES"/>
        </w:rPr>
        <w:t xml:space="preserve">La Fase 3 está destinada a garantizar la autonomía institucional del SRI mediante la ejecución del </w:t>
      </w:r>
      <w:bookmarkStart w:id="26" w:name="OLE_LINK41"/>
      <w:r w:rsidRPr="00160081">
        <w:rPr>
          <w:rFonts w:cstheme="minorHAnsi"/>
          <w:sz w:val="20"/>
          <w:szCs w:val="20"/>
          <w:lang w:val="es-ES"/>
        </w:rPr>
        <w:t>Plan de Transferencia de Conocimientos Especializados</w:t>
      </w:r>
      <w:bookmarkEnd w:id="26"/>
      <w:r w:rsidRPr="00160081">
        <w:rPr>
          <w:rFonts w:cstheme="minorHAnsi"/>
          <w:sz w:val="20"/>
          <w:szCs w:val="20"/>
          <w:lang w:val="es-ES"/>
        </w:rPr>
        <w:t xml:space="preserve">. En esta fase, el contratista deberá transferir el conocimiento a los diferentes perfiles definidos, entregar la documentación técnica y operativa correspondiente. El contratista deberá acompañar al SRI en la adopción efectiva de la plataforma. </w:t>
      </w:r>
    </w:p>
    <w:bookmarkEnd w:id="25"/>
    <w:p w14:paraId="39D11799" w14:textId="77777777" w:rsidR="00160081" w:rsidRPr="00160081" w:rsidRDefault="00160081" w:rsidP="00160081">
      <w:pPr>
        <w:ind w:left="720"/>
        <w:jc w:val="both"/>
        <w:rPr>
          <w:rFonts w:cstheme="minorHAnsi"/>
          <w:sz w:val="20"/>
          <w:szCs w:val="20"/>
          <w:lang w:val="es-ES"/>
        </w:rPr>
      </w:pPr>
    </w:p>
    <w:p w14:paraId="25830A12" w14:textId="77777777" w:rsidR="00160081" w:rsidRPr="00160081" w:rsidRDefault="00160081" w:rsidP="00160081">
      <w:pPr>
        <w:ind w:left="1440"/>
        <w:rPr>
          <w:rFonts w:cstheme="minorHAnsi"/>
          <w:b/>
          <w:bCs/>
          <w:sz w:val="20"/>
          <w:szCs w:val="20"/>
          <w:lang w:val="es-ES"/>
        </w:rPr>
      </w:pPr>
      <w:r w:rsidRPr="00160081">
        <w:rPr>
          <w:rFonts w:cstheme="minorHAnsi"/>
          <w:b/>
          <w:bCs/>
          <w:sz w:val="20"/>
          <w:szCs w:val="20"/>
          <w:lang w:val="es-ES"/>
        </w:rPr>
        <w:t xml:space="preserve">Fase 4.  Soporte y mantenimiento </w:t>
      </w:r>
    </w:p>
    <w:p w14:paraId="6563E134"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La Fase 4 está destinada a garantizar la sostenibilidad institucional del SRI mediante la prestación continua del servicio de soporte y mantenimiento de la solución. El contratista deberá prestar el servicio de soporte técnico conforme al modelo definido, incluyendo atención de incidentes, mantenimiento preventivo y correctivo, monitoreo y cumplimiento de los Acuerdos de Nivel de Servicio (ANS) establecidos contractualmente.</w:t>
      </w:r>
    </w:p>
    <w:p w14:paraId="43C375CF" w14:textId="77777777" w:rsidR="00160081" w:rsidRPr="00160081" w:rsidRDefault="00160081" w:rsidP="00160081">
      <w:pPr>
        <w:ind w:left="1440"/>
        <w:rPr>
          <w:rFonts w:cstheme="minorHAnsi"/>
          <w:b/>
          <w:bCs/>
          <w:sz w:val="20"/>
          <w:szCs w:val="20"/>
          <w:lang w:val="es-ES"/>
        </w:rPr>
      </w:pPr>
    </w:p>
    <w:p w14:paraId="3C8B71F2" w14:textId="77777777" w:rsidR="00160081" w:rsidRPr="00160081" w:rsidRDefault="00160081" w:rsidP="00160081">
      <w:pPr>
        <w:ind w:left="1440"/>
        <w:rPr>
          <w:rFonts w:cstheme="minorHAnsi"/>
          <w:b/>
          <w:bCs/>
          <w:sz w:val="20"/>
          <w:szCs w:val="20"/>
          <w:lang w:val="es-ES"/>
        </w:rPr>
      </w:pPr>
      <w:bookmarkStart w:id="27" w:name="OLE_LINK82"/>
      <w:r w:rsidRPr="00160081">
        <w:rPr>
          <w:rFonts w:cstheme="minorHAnsi"/>
          <w:b/>
          <w:bCs/>
          <w:sz w:val="20"/>
          <w:szCs w:val="20"/>
          <w:lang w:val="es-ES"/>
        </w:rPr>
        <w:t>Fase 5. Implementación de Casos de Uso</w:t>
      </w:r>
    </w:p>
    <w:bookmarkEnd w:id="27"/>
    <w:p w14:paraId="125D3299"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 xml:space="preserve">La Fase 5 comprende el desarrollo, configuración e implementación de los 9 (nueve) casos de uso definidos en la sección </w:t>
      </w:r>
      <w:r w:rsidRPr="00160081">
        <w:rPr>
          <w:rFonts w:cstheme="minorHAnsi"/>
          <w:b/>
          <w:bCs/>
          <w:color w:val="000000" w:themeColor="text1"/>
          <w:sz w:val="20"/>
          <w:szCs w:val="20"/>
        </w:rPr>
        <w:t>6.4.1. Implementaciones de casos de uso</w:t>
      </w:r>
      <w:r w:rsidRPr="00160081">
        <w:rPr>
          <w:rFonts w:cstheme="minorHAnsi"/>
          <w:sz w:val="20"/>
          <w:szCs w:val="20"/>
          <w:lang w:val="es-ES"/>
        </w:rPr>
        <w:t>, de las integraciones y convivencias con sistemas legados, así como, la atención de requerimientos funcionales, no funcionales y evolutivos mediante el mecanismo de Órdenes de Trabajo. En esta fase, el contratista deberá llevar a cabo reuniones de análisis conjunto con el SRI, elaborar y someter a aprobación las órdenes de trabajo, implementar las soluciones de forma incremental y controlada, y asegurar el cumplimiento de la gobernanza de versiones, metodología de implementación de casos de uso en BPMS, la migración entre ambientes y los criterios de aceptación definidos y acordados por el SRI. Cuando los requerimientos correspondan a evoluciones no contempladas inicialmente, su ejecución se realizará con cargo a la bolsa de horas de mantenimiento evolutivo, conforme al mecanismo de estimación y aprobación acordado con el SRI.</w:t>
      </w:r>
    </w:p>
    <w:p w14:paraId="1C6ACC42" w14:textId="77777777" w:rsidR="00160081" w:rsidRPr="00160081" w:rsidRDefault="00160081" w:rsidP="00160081">
      <w:pPr>
        <w:ind w:left="720"/>
        <w:jc w:val="both"/>
        <w:rPr>
          <w:rFonts w:cstheme="minorHAnsi"/>
          <w:sz w:val="20"/>
          <w:szCs w:val="20"/>
          <w:lang w:val="es-ES"/>
        </w:rPr>
      </w:pPr>
    </w:p>
    <w:p w14:paraId="482ACE0D" w14:textId="77777777" w:rsidR="00160081" w:rsidRPr="00160081" w:rsidRDefault="00160081" w:rsidP="00160081">
      <w:pPr>
        <w:ind w:left="1440"/>
        <w:rPr>
          <w:rFonts w:cstheme="minorHAnsi"/>
          <w:b/>
          <w:bCs/>
          <w:sz w:val="20"/>
          <w:szCs w:val="20"/>
          <w:lang w:val="es-ES"/>
        </w:rPr>
      </w:pPr>
      <w:r w:rsidRPr="00160081">
        <w:rPr>
          <w:rFonts w:cstheme="minorHAnsi"/>
          <w:b/>
          <w:bCs/>
          <w:sz w:val="20"/>
          <w:szCs w:val="20"/>
          <w:lang w:val="es-ES"/>
        </w:rPr>
        <w:t>Fase 6. Ordenes de Trabajo</w:t>
      </w:r>
    </w:p>
    <w:p w14:paraId="1908EE24" w14:textId="77777777" w:rsidR="00160081" w:rsidRPr="00160081" w:rsidRDefault="00160081" w:rsidP="00160081">
      <w:pPr>
        <w:ind w:left="720"/>
        <w:jc w:val="both"/>
        <w:rPr>
          <w:rFonts w:cstheme="minorHAnsi"/>
          <w:sz w:val="20"/>
          <w:szCs w:val="20"/>
          <w:lang w:val="es-ES"/>
        </w:rPr>
      </w:pPr>
      <w:r w:rsidRPr="00160081">
        <w:rPr>
          <w:rFonts w:cstheme="minorHAnsi"/>
          <w:sz w:val="20"/>
          <w:szCs w:val="20"/>
          <w:lang w:val="es-ES"/>
        </w:rPr>
        <w:t xml:space="preserve">La fase 6 comprende solicitud de nuevas </w:t>
      </w:r>
      <w:r w:rsidRPr="00160081">
        <w:rPr>
          <w:rFonts w:cstheme="minorHAnsi"/>
          <w:sz w:val="20"/>
          <w:szCs w:val="20"/>
        </w:rPr>
        <w:t>evoluciones, nuevas configuraciones, ajustes funcionales o técnicos no contemplados en el alcance inicial del contrato, dichas actividades deberán ejecutarse con cargo a la bolsa de horas de mantenimiento evolutivo definida contractualmente. En estos casos, el contratista deberá presentar una estimación de esfuerzo conforme al mecanismo aprobado por el SRI, indicando el consumo estimado de horas, el plan de ejecución y los entregables asociados, sin que ello implique obligación alguna para el SRI de consumir la totalidad de la bolsa de horas contratada.</w:t>
      </w:r>
      <w:r w:rsidRPr="00160081">
        <w:rPr>
          <w:rFonts w:cstheme="minorHAnsi"/>
          <w:sz w:val="20"/>
          <w:szCs w:val="20"/>
          <w:lang w:val="es-ES"/>
        </w:rPr>
        <w:t xml:space="preserve"> </w:t>
      </w:r>
    </w:p>
    <w:p w14:paraId="72EF2464" w14:textId="77777777" w:rsidR="00160081" w:rsidRPr="00160081" w:rsidRDefault="00160081" w:rsidP="00160081">
      <w:pPr>
        <w:ind w:left="720"/>
        <w:rPr>
          <w:rFonts w:eastAsia="Microsoft YaHei" w:cstheme="minorHAnsi"/>
          <w:iCs/>
          <w:sz w:val="20"/>
          <w:szCs w:val="20"/>
        </w:rPr>
      </w:pPr>
    </w:p>
    <w:p w14:paraId="5B540F2E"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28" w:name="_Toc217326206"/>
      <w:r w:rsidRPr="00160081">
        <w:rPr>
          <w:rFonts w:asciiTheme="minorHAnsi" w:eastAsia="Times New Roman" w:hAnsiTheme="minorHAnsi" w:cstheme="minorHAnsi"/>
          <w:b/>
          <w:bCs/>
          <w:color w:val="000000" w:themeColor="text1"/>
          <w:sz w:val="20"/>
          <w:szCs w:val="20"/>
        </w:rPr>
        <w:t>5.2 Requerimientos mínimos de la Metodología de Trabajo</w:t>
      </w:r>
      <w:bookmarkEnd w:id="28"/>
    </w:p>
    <w:p w14:paraId="42D7457B" w14:textId="77777777" w:rsidR="00160081" w:rsidRPr="00160081" w:rsidRDefault="00160081" w:rsidP="00160081">
      <w:pPr>
        <w:shd w:val="clear" w:color="auto" w:fill="FFFFFF"/>
        <w:autoSpaceDE w:val="0"/>
        <w:autoSpaceDN w:val="0"/>
        <w:adjustRightInd w:val="0"/>
        <w:ind w:left="720"/>
        <w:rPr>
          <w:rFonts w:cstheme="minorHAnsi"/>
          <w:sz w:val="20"/>
          <w:szCs w:val="20"/>
        </w:rPr>
      </w:pPr>
    </w:p>
    <w:p w14:paraId="57915D7E" w14:textId="77777777" w:rsidR="00160081" w:rsidRPr="00160081" w:rsidRDefault="00160081" w:rsidP="00160081">
      <w:pPr>
        <w:shd w:val="clear" w:color="auto" w:fill="FFFFFF"/>
        <w:autoSpaceDE w:val="0"/>
        <w:autoSpaceDN w:val="0"/>
        <w:adjustRightInd w:val="0"/>
        <w:ind w:left="720"/>
        <w:jc w:val="both"/>
        <w:rPr>
          <w:rFonts w:cstheme="minorHAnsi"/>
          <w:sz w:val="20"/>
          <w:szCs w:val="20"/>
        </w:rPr>
      </w:pPr>
      <w:r w:rsidRPr="00160081">
        <w:rPr>
          <w:rFonts w:cstheme="minorHAnsi"/>
          <w:sz w:val="20"/>
          <w:szCs w:val="20"/>
        </w:rPr>
        <w:t xml:space="preserve">El contratista deberá presentar una metodología general de trabajo que permitirá la ejecución del contrato en las fases y actividades claramente definidas, considerando las mejores prácticas o marco de referencia para la ejecución de proyectos. Estas fases deberán estar alineadas con los productos y/o servicios definidos, la metodología general propuesta deberá contener al menos los siguientes requisitos, mismos que serán de cumplimiento obligatorio por parte del contratista y validados por la entidad contratante. </w:t>
      </w:r>
    </w:p>
    <w:p w14:paraId="7EBC947E" w14:textId="77777777" w:rsidR="00160081" w:rsidRPr="00160081" w:rsidRDefault="00160081" w:rsidP="00160081">
      <w:pPr>
        <w:shd w:val="clear" w:color="auto" w:fill="FFFFFF"/>
        <w:autoSpaceDE w:val="0"/>
        <w:autoSpaceDN w:val="0"/>
        <w:adjustRightInd w:val="0"/>
        <w:ind w:left="720"/>
        <w:rPr>
          <w:rFonts w:cstheme="minorHAnsi"/>
          <w:sz w:val="20"/>
          <w:szCs w:val="20"/>
        </w:rPr>
      </w:pP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5"/>
        <w:gridCol w:w="549"/>
        <w:gridCol w:w="2024"/>
        <w:gridCol w:w="6272"/>
      </w:tblGrid>
      <w:tr w:rsidR="00160081" w:rsidRPr="00160081" w14:paraId="1E440F00" w14:textId="77777777" w:rsidTr="00BD3D91">
        <w:trPr>
          <w:trHeight w:val="357"/>
          <w:tblHeader/>
          <w:jc w:val="center"/>
        </w:trPr>
        <w:tc>
          <w:tcPr>
            <w:tcW w:w="505" w:type="dxa"/>
            <w:vAlign w:val="center"/>
          </w:tcPr>
          <w:p w14:paraId="2399B14B" w14:textId="77777777" w:rsidR="00160081" w:rsidRPr="00160081" w:rsidRDefault="00160081" w:rsidP="00BD3D91">
            <w:pPr>
              <w:jc w:val="center"/>
              <w:rPr>
                <w:rFonts w:cstheme="minorHAnsi"/>
                <w:b/>
                <w:color w:val="000000"/>
                <w:sz w:val="20"/>
                <w:szCs w:val="20"/>
                <w:lang w:eastAsia="es-EC"/>
              </w:rPr>
            </w:pPr>
            <w:bookmarkStart w:id="29" w:name="OLE_LINK3"/>
            <w:r w:rsidRPr="00160081">
              <w:rPr>
                <w:rFonts w:cstheme="minorHAnsi"/>
                <w:b/>
                <w:color w:val="000000"/>
                <w:sz w:val="20"/>
                <w:szCs w:val="20"/>
                <w:lang w:eastAsia="es-EC"/>
              </w:rPr>
              <w:t>No.</w:t>
            </w:r>
          </w:p>
        </w:tc>
        <w:tc>
          <w:tcPr>
            <w:tcW w:w="549" w:type="dxa"/>
            <w:vAlign w:val="center"/>
          </w:tcPr>
          <w:p w14:paraId="5A33461D" w14:textId="77777777" w:rsidR="00160081" w:rsidRPr="00160081" w:rsidRDefault="00160081" w:rsidP="00BD3D91">
            <w:pPr>
              <w:jc w:val="center"/>
              <w:rPr>
                <w:rFonts w:cstheme="minorHAnsi"/>
                <w:b/>
                <w:color w:val="000000"/>
                <w:sz w:val="20"/>
                <w:szCs w:val="20"/>
                <w:lang w:eastAsia="es-EC"/>
              </w:rPr>
            </w:pPr>
            <w:r w:rsidRPr="00160081">
              <w:rPr>
                <w:rFonts w:cstheme="minorHAnsi"/>
                <w:b/>
                <w:color w:val="000000"/>
                <w:sz w:val="20"/>
                <w:szCs w:val="20"/>
                <w:lang w:eastAsia="es-EC"/>
              </w:rPr>
              <w:t>Fase</w:t>
            </w:r>
          </w:p>
        </w:tc>
        <w:tc>
          <w:tcPr>
            <w:tcW w:w="2024" w:type="dxa"/>
            <w:vAlign w:val="center"/>
            <w:hideMark/>
          </w:tcPr>
          <w:p w14:paraId="7C15A564" w14:textId="77777777" w:rsidR="00160081" w:rsidRPr="00160081" w:rsidRDefault="00160081" w:rsidP="00BD3D91">
            <w:pPr>
              <w:jc w:val="center"/>
              <w:rPr>
                <w:rFonts w:cstheme="minorHAnsi"/>
                <w:b/>
                <w:color w:val="000000"/>
                <w:sz w:val="20"/>
                <w:szCs w:val="20"/>
                <w:lang w:eastAsia="es-EC"/>
              </w:rPr>
            </w:pPr>
            <w:r w:rsidRPr="00160081">
              <w:rPr>
                <w:rFonts w:cstheme="minorHAnsi"/>
                <w:b/>
                <w:color w:val="000000"/>
                <w:sz w:val="20"/>
                <w:szCs w:val="20"/>
                <w:lang w:eastAsia="es-EC"/>
              </w:rPr>
              <w:t>Concepto</w:t>
            </w:r>
          </w:p>
        </w:tc>
        <w:tc>
          <w:tcPr>
            <w:tcW w:w="6272" w:type="dxa"/>
            <w:vAlign w:val="center"/>
            <w:hideMark/>
          </w:tcPr>
          <w:p w14:paraId="6576EBE1" w14:textId="77777777" w:rsidR="00160081" w:rsidRPr="00160081" w:rsidRDefault="00160081" w:rsidP="00BD3D91">
            <w:pPr>
              <w:jc w:val="center"/>
              <w:rPr>
                <w:rFonts w:cstheme="minorHAnsi"/>
                <w:b/>
                <w:color w:val="000000"/>
                <w:sz w:val="20"/>
                <w:szCs w:val="20"/>
                <w:lang w:eastAsia="es-EC"/>
              </w:rPr>
            </w:pPr>
            <w:r w:rsidRPr="00160081">
              <w:rPr>
                <w:rFonts w:cstheme="minorHAnsi"/>
                <w:b/>
                <w:color w:val="000000"/>
                <w:sz w:val="20"/>
                <w:szCs w:val="20"/>
                <w:lang w:eastAsia="es-EC"/>
              </w:rPr>
              <w:t>Características</w:t>
            </w:r>
          </w:p>
        </w:tc>
      </w:tr>
      <w:tr w:rsidR="00160081" w:rsidRPr="00160081" w14:paraId="0BC3E955" w14:textId="77777777" w:rsidTr="00BD3D91">
        <w:trPr>
          <w:trHeight w:val="437"/>
          <w:jc w:val="center"/>
        </w:trPr>
        <w:tc>
          <w:tcPr>
            <w:tcW w:w="505" w:type="dxa"/>
            <w:vAlign w:val="center"/>
          </w:tcPr>
          <w:p w14:paraId="34003AE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p>
        </w:tc>
        <w:tc>
          <w:tcPr>
            <w:tcW w:w="549" w:type="dxa"/>
            <w:vAlign w:val="center"/>
          </w:tcPr>
          <w:p w14:paraId="07E1A4B1"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0</w:t>
            </w:r>
          </w:p>
        </w:tc>
        <w:tc>
          <w:tcPr>
            <w:tcW w:w="2024" w:type="dxa"/>
            <w:vAlign w:val="center"/>
          </w:tcPr>
          <w:p w14:paraId="7677C0D0"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Presentación de la Metodología de Trabajo</w:t>
            </w:r>
          </w:p>
        </w:tc>
        <w:tc>
          <w:tcPr>
            <w:tcW w:w="6272" w:type="dxa"/>
            <w:vAlign w:val="center"/>
          </w:tcPr>
          <w:p w14:paraId="6B2CD356"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w:t>
            </w:r>
            <w:r w:rsidRPr="00160081" w:rsidDel="00C30D64">
              <w:rPr>
                <w:rFonts w:cstheme="minorHAnsi"/>
                <w:color w:val="000000"/>
                <w:sz w:val="20"/>
                <w:szCs w:val="20"/>
                <w:lang w:eastAsia="es-EC"/>
              </w:rPr>
              <w:t xml:space="preserve"> </w:t>
            </w:r>
            <w:r w:rsidRPr="00160081">
              <w:rPr>
                <w:rFonts w:cstheme="minorHAnsi"/>
                <w:color w:val="000000"/>
                <w:sz w:val="20"/>
                <w:szCs w:val="20"/>
                <w:lang w:eastAsia="es-EC"/>
              </w:rPr>
              <w:t>deberá presentar su Metodología de Trabajo, misma que debe incluir al menos y sin limitarse a:</w:t>
            </w:r>
          </w:p>
          <w:p w14:paraId="31B47A1D"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bookmarkStart w:id="30" w:name="OLE_LINK56"/>
            <w:r w:rsidRPr="00160081">
              <w:rPr>
                <w:rFonts w:cstheme="minorHAnsi"/>
                <w:color w:val="000000"/>
                <w:sz w:val="20"/>
                <w:szCs w:val="20"/>
                <w:lang w:eastAsia="es-EC"/>
              </w:rPr>
              <w:t xml:space="preserve">Descripción de las principales actividades por cada fase a ejecutar para la adecuada implementación del servicio y ejecución del contrato. </w:t>
            </w:r>
          </w:p>
          <w:p w14:paraId="73BD655A"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Detalle de la adquisición, modelo de licenciamiento y sus características</w:t>
            </w:r>
          </w:p>
          <w:p w14:paraId="43E61E16"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Plan de Implementación para el desarrollo de los casos de uso basado en una metodología que incluya mejores prácticas para la resolución de casos de uso.</w:t>
            </w:r>
          </w:p>
          <w:p w14:paraId="6E1D1D83"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Plan para la atención e implementación del Sistema de Gestión de Riesgos Tributarios</w:t>
            </w:r>
          </w:p>
          <w:p w14:paraId="6E021D87"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Plan de Transferencia de Conocimientos Especializados para garantizar la operación del servicio.</w:t>
            </w:r>
          </w:p>
          <w:p w14:paraId="6233B675"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Una vez iniciado el contrato y dentro de los plazos previstos el contratista realizará el </w:t>
            </w:r>
            <w:proofErr w:type="spellStart"/>
            <w:r w:rsidRPr="00160081">
              <w:rPr>
                <w:rFonts w:cstheme="minorHAnsi"/>
                <w:color w:val="000000"/>
                <w:sz w:val="20"/>
                <w:szCs w:val="20"/>
                <w:lang w:eastAsia="es-EC"/>
              </w:rPr>
              <w:t>kick</w:t>
            </w:r>
            <w:proofErr w:type="spellEnd"/>
            <w:r w:rsidRPr="00160081">
              <w:rPr>
                <w:rFonts w:cstheme="minorHAnsi"/>
                <w:color w:val="000000"/>
                <w:sz w:val="20"/>
                <w:szCs w:val="20"/>
                <w:lang w:eastAsia="es-EC"/>
              </w:rPr>
              <w:t xml:space="preserve"> off del servicio a implementar y posteriormente entregará la Metodología de Trabajo Detallada, conforme las definiciones establecidas en los numerales: 5 (Metodología de trabajo), 6 (Bienes requeridos), 7 (Licenciamiento), 8 (Soporte y mantenimiento) y 9 (servicios conexos requeridos).</w:t>
            </w:r>
          </w:p>
          <w:p w14:paraId="74EB8E6D"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 requerirlo el contratista podrá solicitar a través del administrador de contrato las reuniones de diagnóstico y/o entendimiento con el equipo técnico responsable a fin de detallar, complementar y/o validar los requisitos establecidos para la presentación de la Metodología de Trabajo detallada.</w:t>
            </w:r>
            <w:bookmarkEnd w:id="30"/>
          </w:p>
        </w:tc>
      </w:tr>
      <w:tr w:rsidR="00160081" w:rsidRPr="00160081" w14:paraId="5BF8FD02" w14:textId="77777777" w:rsidTr="00BD3D91">
        <w:trPr>
          <w:trHeight w:val="437"/>
          <w:jc w:val="center"/>
        </w:trPr>
        <w:tc>
          <w:tcPr>
            <w:tcW w:w="505" w:type="dxa"/>
            <w:vAlign w:val="center"/>
          </w:tcPr>
          <w:p w14:paraId="75DB0D8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2</w:t>
            </w:r>
          </w:p>
        </w:tc>
        <w:tc>
          <w:tcPr>
            <w:tcW w:w="549" w:type="dxa"/>
            <w:vAlign w:val="center"/>
          </w:tcPr>
          <w:p w14:paraId="6FA4232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06E67BD9"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Integración </w:t>
            </w:r>
          </w:p>
        </w:tc>
        <w:tc>
          <w:tcPr>
            <w:tcW w:w="6272" w:type="dxa"/>
            <w:vAlign w:val="center"/>
          </w:tcPr>
          <w:p w14:paraId="5329E91B" w14:textId="77777777" w:rsidR="00160081" w:rsidRPr="00160081" w:rsidRDefault="00160081" w:rsidP="00BD3D91">
            <w:pPr>
              <w:tabs>
                <w:tab w:val="left" w:pos="0"/>
              </w:tabs>
              <w:jc w:val="both"/>
              <w:rPr>
                <w:rFonts w:cstheme="minorHAnsi"/>
                <w:color w:val="000000"/>
                <w:sz w:val="20"/>
                <w:szCs w:val="20"/>
                <w:lang w:eastAsia="es-EC"/>
              </w:rPr>
            </w:pPr>
            <w:bookmarkStart w:id="31" w:name="_Hlk187751026"/>
            <w:r w:rsidRPr="00160081">
              <w:rPr>
                <w:rFonts w:cstheme="minorHAnsi"/>
                <w:color w:val="000000"/>
                <w:sz w:val="20"/>
                <w:szCs w:val="20"/>
                <w:lang w:eastAsia="es-EC"/>
              </w:rPr>
              <w:t>Debe incluir al menos la descripción general del servicio de implementación y ajustar la misma con la información del SRI.</w:t>
            </w:r>
          </w:p>
          <w:p w14:paraId="09E09045"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Identificar a las partes interesadas y sus expectativas a fin de coordinar los aspectos del servicio a implementar, para trabajar en conjunto y establecer conexiones efectivas entre todas las actividades.</w:t>
            </w:r>
            <w:bookmarkEnd w:id="31"/>
          </w:p>
          <w:p w14:paraId="070B6A48"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será responsable de la integridad y consistencia de los datos durante los procesos de integración, migración y/o rediseño de flujos.</w:t>
            </w:r>
          </w:p>
        </w:tc>
      </w:tr>
      <w:tr w:rsidR="00160081" w:rsidRPr="00160081" w14:paraId="444271E0" w14:textId="77777777" w:rsidTr="00BD3D91">
        <w:trPr>
          <w:trHeight w:val="437"/>
          <w:jc w:val="center"/>
        </w:trPr>
        <w:tc>
          <w:tcPr>
            <w:tcW w:w="505" w:type="dxa"/>
            <w:vAlign w:val="center"/>
          </w:tcPr>
          <w:p w14:paraId="7A0F200C"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3</w:t>
            </w:r>
          </w:p>
        </w:tc>
        <w:tc>
          <w:tcPr>
            <w:tcW w:w="549" w:type="dxa"/>
            <w:vAlign w:val="center"/>
          </w:tcPr>
          <w:p w14:paraId="314D62E6"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00D7D2D2"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Alcance</w:t>
            </w:r>
          </w:p>
        </w:tc>
        <w:tc>
          <w:tcPr>
            <w:tcW w:w="6272" w:type="dxa"/>
            <w:vAlign w:val="center"/>
          </w:tcPr>
          <w:p w14:paraId="72BF7DC8"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Debe incluir al menos:</w:t>
            </w:r>
          </w:p>
          <w:p w14:paraId="3749440A"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La lista detallada de entregables establecidos por la entidad contratante conforme a las definiciones levantadas, señaladas en el numeral 6. Bienes requeridos.</w:t>
            </w:r>
          </w:p>
          <w:p w14:paraId="10C405AF"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Los criterios de aceptación de cada entregable conforme a la estructura contenida en el numeral 9.4.4.</w:t>
            </w:r>
          </w:p>
          <w:p w14:paraId="4B1ABA14"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bookmarkStart w:id="32" w:name="OLE_LINK58"/>
            <w:r w:rsidRPr="00160081">
              <w:rPr>
                <w:rFonts w:cstheme="minorHAnsi"/>
                <w:color w:val="000000"/>
                <w:sz w:val="20"/>
                <w:szCs w:val="20"/>
                <w:lang w:eastAsia="es-EC"/>
              </w:rPr>
              <w:t>La arquitectura de la solución tecnológica ofertada.</w:t>
            </w:r>
          </w:p>
          <w:p w14:paraId="5B61713F"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Las características técnicas y funcionales de los componentes principales de la suite (BPMS, BRMS, ECM y SGRT), así como de todos los otros componentes que formen parte de su arquitectura.</w:t>
            </w:r>
            <w:bookmarkEnd w:id="32"/>
          </w:p>
        </w:tc>
      </w:tr>
      <w:tr w:rsidR="00160081" w:rsidRPr="00160081" w14:paraId="43BD5C6A" w14:textId="77777777" w:rsidTr="00BD3D91">
        <w:trPr>
          <w:trHeight w:val="58"/>
          <w:jc w:val="center"/>
        </w:trPr>
        <w:tc>
          <w:tcPr>
            <w:tcW w:w="505" w:type="dxa"/>
            <w:vAlign w:val="center"/>
          </w:tcPr>
          <w:p w14:paraId="44177F1C"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4</w:t>
            </w:r>
          </w:p>
        </w:tc>
        <w:tc>
          <w:tcPr>
            <w:tcW w:w="549" w:type="dxa"/>
            <w:vAlign w:val="center"/>
          </w:tcPr>
          <w:p w14:paraId="54741BC1" w14:textId="77777777" w:rsidR="00160081" w:rsidRPr="00160081" w:rsidRDefault="00160081" w:rsidP="00BD3D91">
            <w:pPr>
              <w:jc w:val="center"/>
              <w:rPr>
                <w:rFonts w:cstheme="minorHAnsi"/>
                <w:color w:val="000000"/>
                <w:sz w:val="20"/>
                <w:szCs w:val="20"/>
                <w:lang w:eastAsia="es-EC"/>
              </w:rPr>
            </w:pPr>
            <w:bookmarkStart w:id="33" w:name="OLE_LINK71"/>
            <w:r w:rsidRPr="00160081">
              <w:rPr>
                <w:rFonts w:cstheme="minorHAnsi"/>
                <w:color w:val="000000"/>
                <w:sz w:val="20"/>
                <w:szCs w:val="20"/>
                <w:lang w:eastAsia="es-EC"/>
              </w:rPr>
              <w:t>Fase 1</w:t>
            </w:r>
            <w:bookmarkEnd w:id="33"/>
          </w:p>
        </w:tc>
        <w:tc>
          <w:tcPr>
            <w:tcW w:w="2024" w:type="dxa"/>
            <w:vAlign w:val="center"/>
          </w:tcPr>
          <w:p w14:paraId="05599901"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Tiempo</w:t>
            </w:r>
          </w:p>
        </w:tc>
        <w:tc>
          <w:tcPr>
            <w:tcW w:w="6272" w:type="dxa"/>
            <w:vAlign w:val="center"/>
          </w:tcPr>
          <w:p w14:paraId="594F5F54"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Debe incluir el cronograma de implementación considerando:</w:t>
            </w:r>
          </w:p>
          <w:p w14:paraId="5508FA8C"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Cronograma del proyecto con hitos clave, conforme lo definido en el presente documento, sin rebasar el plazo máximo establecido en el numeral 11 “Plazo de ejecución”.</w:t>
            </w:r>
          </w:p>
          <w:p w14:paraId="5480AF50"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Descomposición del trabajo (</w:t>
            </w:r>
            <w:bookmarkStart w:id="34" w:name="OLE_LINK26"/>
            <w:r w:rsidRPr="00160081">
              <w:rPr>
                <w:rFonts w:cstheme="minorHAnsi"/>
                <w:color w:val="000000"/>
                <w:sz w:val="20"/>
                <w:szCs w:val="20"/>
                <w:lang w:eastAsia="es-EC"/>
              </w:rPr>
              <w:t>WBS</w:t>
            </w:r>
            <w:bookmarkEnd w:id="34"/>
            <w:r w:rsidRPr="00160081">
              <w:rPr>
                <w:rFonts w:cstheme="minorHAnsi"/>
                <w:color w:val="000000"/>
                <w:sz w:val="20"/>
                <w:szCs w:val="20"/>
                <w:lang w:eastAsia="es-EC"/>
              </w:rPr>
              <w:t xml:space="preserve"> – Work </w:t>
            </w:r>
            <w:proofErr w:type="spellStart"/>
            <w:r w:rsidRPr="00160081">
              <w:rPr>
                <w:rFonts w:cstheme="minorHAnsi"/>
                <w:color w:val="000000"/>
                <w:sz w:val="20"/>
                <w:szCs w:val="20"/>
                <w:lang w:eastAsia="es-EC"/>
              </w:rPr>
              <w:t>Breakedown</w:t>
            </w:r>
            <w:proofErr w:type="spellEnd"/>
            <w:r w:rsidRPr="00160081">
              <w:rPr>
                <w:rFonts w:cstheme="minorHAnsi"/>
                <w:color w:val="000000"/>
                <w:sz w:val="20"/>
                <w:szCs w:val="20"/>
                <w:lang w:eastAsia="es-EC"/>
              </w:rPr>
              <w:t xml:space="preserve"> </w:t>
            </w:r>
            <w:proofErr w:type="spellStart"/>
            <w:r w:rsidRPr="00160081">
              <w:rPr>
                <w:rFonts w:cstheme="minorHAnsi"/>
                <w:color w:val="000000"/>
                <w:sz w:val="20"/>
                <w:szCs w:val="20"/>
                <w:lang w:eastAsia="es-EC"/>
              </w:rPr>
              <w:t>Structure</w:t>
            </w:r>
            <w:proofErr w:type="spellEnd"/>
            <w:r w:rsidRPr="00160081">
              <w:rPr>
                <w:rFonts w:cstheme="minorHAnsi"/>
                <w:color w:val="000000"/>
                <w:sz w:val="20"/>
                <w:szCs w:val="20"/>
                <w:lang w:eastAsia="es-EC"/>
              </w:rPr>
              <w:t xml:space="preserve">) que detalle las tareas principales </w:t>
            </w:r>
          </w:p>
          <w:p w14:paraId="67D283D3"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Recursos necesarios y su asignación.</w:t>
            </w:r>
          </w:p>
          <w:p w14:paraId="121827D9"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Los tiempos del cronograma deberán considerar buenas prácticas de la industria que permitan recolectar información para asegurar el cumplimiento de la Metodología de Trabajo detallada dentro de los plazos programados.</w:t>
            </w:r>
          </w:p>
        </w:tc>
      </w:tr>
      <w:tr w:rsidR="00160081" w:rsidRPr="00160081" w14:paraId="3290DDD3" w14:textId="77777777" w:rsidTr="00BD3D91">
        <w:trPr>
          <w:trHeight w:val="54"/>
          <w:jc w:val="center"/>
        </w:trPr>
        <w:tc>
          <w:tcPr>
            <w:tcW w:w="505" w:type="dxa"/>
            <w:vAlign w:val="center"/>
          </w:tcPr>
          <w:p w14:paraId="528F2B45"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5</w:t>
            </w:r>
          </w:p>
        </w:tc>
        <w:tc>
          <w:tcPr>
            <w:tcW w:w="549" w:type="dxa"/>
            <w:vAlign w:val="center"/>
          </w:tcPr>
          <w:p w14:paraId="597BCAF5"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7D26117C"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Gestión de la Calidad</w:t>
            </w:r>
          </w:p>
        </w:tc>
        <w:tc>
          <w:tcPr>
            <w:tcW w:w="6272" w:type="dxa"/>
            <w:vAlign w:val="center"/>
          </w:tcPr>
          <w:p w14:paraId="3879C53F"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 xml:space="preserve">El contratista propondrá los </w:t>
            </w:r>
            <w:bookmarkStart w:id="35" w:name="OLE_LINK61"/>
            <w:r w:rsidRPr="00160081">
              <w:rPr>
                <w:rFonts w:cstheme="minorHAnsi"/>
                <w:color w:val="000000"/>
                <w:sz w:val="20"/>
                <w:szCs w:val="20"/>
                <w:lang w:eastAsia="es-EC"/>
              </w:rPr>
              <w:t>planes y procedimientos de aseguramiento de la calidad de la solución y sus componentes instalados.</w:t>
            </w:r>
            <w:bookmarkEnd w:id="35"/>
          </w:p>
        </w:tc>
      </w:tr>
      <w:tr w:rsidR="00160081" w:rsidRPr="00160081" w14:paraId="616D7313" w14:textId="77777777" w:rsidTr="00BD3D91">
        <w:trPr>
          <w:trHeight w:val="3907"/>
          <w:jc w:val="center"/>
        </w:trPr>
        <w:tc>
          <w:tcPr>
            <w:tcW w:w="505" w:type="dxa"/>
            <w:vAlign w:val="center"/>
          </w:tcPr>
          <w:p w14:paraId="7A9ABC9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6</w:t>
            </w:r>
          </w:p>
        </w:tc>
        <w:tc>
          <w:tcPr>
            <w:tcW w:w="549" w:type="dxa"/>
            <w:vAlign w:val="center"/>
          </w:tcPr>
          <w:p w14:paraId="1D42F8DB"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2D519BFD"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Seguridad de la Información</w:t>
            </w:r>
          </w:p>
        </w:tc>
        <w:tc>
          <w:tcPr>
            <w:tcW w:w="6272" w:type="dxa"/>
            <w:vAlign w:val="center"/>
          </w:tcPr>
          <w:p w14:paraId="2ED9F5C1"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 xml:space="preserve">El contratista deberá definir, documentar e implementar un </w:t>
            </w:r>
            <w:bookmarkStart w:id="36" w:name="OLE_LINK63"/>
            <w:r w:rsidRPr="00160081">
              <w:rPr>
                <w:rFonts w:cstheme="minorHAnsi"/>
                <w:b/>
                <w:bCs/>
                <w:color w:val="000000"/>
                <w:sz w:val="20"/>
                <w:szCs w:val="20"/>
                <w:lang w:eastAsia="es-EC"/>
              </w:rPr>
              <w:t>Modelo Integral de Seguridad de la Información y Ciberseguridad</w:t>
            </w:r>
            <w:r w:rsidRPr="00160081">
              <w:rPr>
                <w:rFonts w:cstheme="minorHAnsi"/>
                <w:color w:val="000000"/>
                <w:sz w:val="20"/>
                <w:szCs w:val="20"/>
                <w:lang w:eastAsia="es-EC"/>
              </w:rPr>
              <w:t>, alineado con al menos uno de los siguientes marcos de referencia:</w:t>
            </w:r>
          </w:p>
          <w:p w14:paraId="7AB5B378"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ISO/IEC 27001 e ISO/IEC 27002</w:t>
            </w:r>
          </w:p>
          <w:p w14:paraId="27B2F1F0"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NIST </w:t>
            </w:r>
            <w:proofErr w:type="spellStart"/>
            <w:r w:rsidRPr="00160081">
              <w:rPr>
                <w:rFonts w:cstheme="minorHAnsi"/>
                <w:color w:val="000000"/>
                <w:sz w:val="20"/>
                <w:szCs w:val="20"/>
                <w:lang w:eastAsia="es-EC"/>
              </w:rPr>
              <w:t>Cybersecurity</w:t>
            </w:r>
            <w:proofErr w:type="spellEnd"/>
            <w:r w:rsidRPr="00160081">
              <w:rPr>
                <w:rFonts w:cstheme="minorHAnsi"/>
                <w:color w:val="000000"/>
                <w:sz w:val="20"/>
                <w:szCs w:val="20"/>
                <w:lang w:eastAsia="es-EC"/>
              </w:rPr>
              <w:t xml:space="preserve"> Framework (CSF)</w:t>
            </w:r>
          </w:p>
          <w:p w14:paraId="16F85B08"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Marco equivalente debidamente justificado y aprobado por el SRI</w:t>
            </w:r>
          </w:p>
          <w:p w14:paraId="50C90963"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Dicho modelo deberá cubrir, como mínimo:</w:t>
            </w:r>
          </w:p>
          <w:p w14:paraId="4B79FFBE"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Gestión de riesgos de seguridad de la información.</w:t>
            </w:r>
          </w:p>
          <w:p w14:paraId="225501A1"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Controles de seguridad organizativos, técnicos y operativos.</w:t>
            </w:r>
          </w:p>
          <w:p w14:paraId="322C3CA7"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Seguridad en el ciclo de vida de desarrollo de software (SDLC).</w:t>
            </w:r>
          </w:p>
          <w:p w14:paraId="661FB13A"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Gestión de identidades, accesos y privilegios.</w:t>
            </w:r>
          </w:p>
          <w:p w14:paraId="68DEE0C0"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Protección de datos personales conforme a la LOPDP.</w:t>
            </w:r>
          </w:p>
          <w:p w14:paraId="4961080E" w14:textId="77777777" w:rsidR="00160081" w:rsidRPr="00160081" w:rsidRDefault="00160081" w:rsidP="00160081">
            <w:pPr>
              <w:numPr>
                <w:ilvl w:val="0"/>
                <w:numId w:val="10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Monitoreo, detección y respuesta a incidentes de seguridad.</w:t>
            </w:r>
          </w:p>
          <w:bookmarkEnd w:id="36"/>
          <w:p w14:paraId="2A7EE6EA"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 xml:space="preserve">El contratista deberá entregar </w:t>
            </w:r>
            <w:bookmarkStart w:id="37" w:name="OLE_LINK62"/>
            <w:r w:rsidRPr="00160081">
              <w:rPr>
                <w:rFonts w:cstheme="minorHAnsi"/>
                <w:b/>
                <w:bCs/>
                <w:color w:val="000000"/>
                <w:sz w:val="20"/>
                <w:szCs w:val="20"/>
                <w:lang w:eastAsia="es-EC"/>
              </w:rPr>
              <w:t>evidencia documental verificable</w:t>
            </w:r>
            <w:r w:rsidRPr="00160081">
              <w:rPr>
                <w:rFonts w:cstheme="minorHAnsi"/>
                <w:color w:val="000000"/>
                <w:sz w:val="20"/>
                <w:szCs w:val="20"/>
                <w:lang w:eastAsia="es-EC"/>
              </w:rPr>
              <w:t xml:space="preserve"> </w:t>
            </w:r>
            <w:bookmarkEnd w:id="37"/>
            <w:r w:rsidRPr="00160081">
              <w:rPr>
                <w:rFonts w:cstheme="minorHAnsi"/>
                <w:color w:val="000000"/>
                <w:sz w:val="20"/>
                <w:szCs w:val="20"/>
                <w:lang w:eastAsia="es-EC"/>
              </w:rPr>
              <w:t>del cumplimiento de estos controles durante las fases de diseño, habilitación, pruebas y puesta en producción.</w:t>
            </w:r>
          </w:p>
        </w:tc>
      </w:tr>
      <w:tr w:rsidR="00160081" w:rsidRPr="00160081" w14:paraId="39FF0B21" w14:textId="77777777" w:rsidTr="00BD3D91">
        <w:trPr>
          <w:trHeight w:val="47"/>
          <w:jc w:val="center"/>
        </w:trPr>
        <w:tc>
          <w:tcPr>
            <w:tcW w:w="505" w:type="dxa"/>
            <w:vAlign w:val="center"/>
          </w:tcPr>
          <w:p w14:paraId="3EE49876"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7</w:t>
            </w:r>
          </w:p>
        </w:tc>
        <w:tc>
          <w:tcPr>
            <w:tcW w:w="549" w:type="dxa"/>
            <w:vAlign w:val="center"/>
          </w:tcPr>
          <w:p w14:paraId="62B9CAAB"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Fase 1 </w:t>
            </w:r>
          </w:p>
        </w:tc>
        <w:tc>
          <w:tcPr>
            <w:tcW w:w="2024" w:type="dxa"/>
            <w:vAlign w:val="center"/>
          </w:tcPr>
          <w:p w14:paraId="0CA1003B"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Recursos Humanos</w:t>
            </w:r>
          </w:p>
        </w:tc>
        <w:tc>
          <w:tcPr>
            <w:tcW w:w="6272" w:type="dxa"/>
            <w:vAlign w:val="center"/>
          </w:tcPr>
          <w:p w14:paraId="17927F73"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El contratista deberá cumplir los requisitos establecidos para el personal técnico mínimo señalado en el numeral 5.2, requerido para la conformación de su equipo de trabajo. Asimismo, deberá definir los roles y responsabilidades mínimas para cada miembro de su equipo de trabajo durante la implementación de la solución tecnológica y el desarrollo de los casos de uso.</w:t>
            </w:r>
          </w:p>
          <w:p w14:paraId="6A30121A"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Deben ser comunicados y acordados los requisitos de habilidades y competencias del personal.</w:t>
            </w:r>
          </w:p>
          <w:p w14:paraId="5133598B"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 igual manera debe comunicarse por parte del contratista las estrategias para</w:t>
            </w:r>
            <w:r w:rsidRPr="00160081">
              <w:rPr>
                <w:rFonts w:cstheme="minorHAnsi"/>
                <w:sz w:val="20"/>
                <w:szCs w:val="20"/>
              </w:rPr>
              <w:t xml:space="preserve"> la resolución de conflictos</w:t>
            </w:r>
          </w:p>
        </w:tc>
      </w:tr>
      <w:tr w:rsidR="00160081" w:rsidRPr="00160081" w14:paraId="3D46FD35" w14:textId="77777777" w:rsidTr="00BD3D91">
        <w:trPr>
          <w:trHeight w:val="437"/>
          <w:jc w:val="center"/>
        </w:trPr>
        <w:tc>
          <w:tcPr>
            <w:tcW w:w="505" w:type="dxa"/>
            <w:vAlign w:val="center"/>
          </w:tcPr>
          <w:p w14:paraId="085ABE78"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8</w:t>
            </w:r>
          </w:p>
        </w:tc>
        <w:tc>
          <w:tcPr>
            <w:tcW w:w="549" w:type="dxa"/>
            <w:vAlign w:val="center"/>
          </w:tcPr>
          <w:p w14:paraId="1C49AE07"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51A6115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Comunicaciones</w:t>
            </w:r>
          </w:p>
        </w:tc>
        <w:tc>
          <w:tcPr>
            <w:tcW w:w="6272" w:type="dxa"/>
            <w:vAlign w:val="center"/>
          </w:tcPr>
          <w:p w14:paraId="6AF52048"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Deberá definir el plan de comunicaciones a implementar, que detalle, quién comunica qué, cuándo y cómo.</w:t>
            </w:r>
          </w:p>
          <w:p w14:paraId="58E461E4"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propondrá las herramientas de comunicación a utilizar.</w:t>
            </w:r>
          </w:p>
          <w:p w14:paraId="4C8C4BDB"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Una vez adjudicado el contrato, entre las partes se definirán los protocolos para informar el progreso y los problemas.</w:t>
            </w:r>
          </w:p>
        </w:tc>
      </w:tr>
      <w:tr w:rsidR="00160081" w:rsidRPr="00160081" w14:paraId="07F58DD5" w14:textId="77777777" w:rsidTr="00BD3D91">
        <w:trPr>
          <w:trHeight w:val="437"/>
          <w:jc w:val="center"/>
        </w:trPr>
        <w:tc>
          <w:tcPr>
            <w:tcW w:w="505" w:type="dxa"/>
            <w:vAlign w:val="center"/>
          </w:tcPr>
          <w:p w14:paraId="676C9C4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9</w:t>
            </w:r>
          </w:p>
        </w:tc>
        <w:tc>
          <w:tcPr>
            <w:tcW w:w="549" w:type="dxa"/>
            <w:vAlign w:val="center"/>
          </w:tcPr>
          <w:p w14:paraId="4CB3B784"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2594227D"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Riesgos</w:t>
            </w:r>
          </w:p>
        </w:tc>
        <w:tc>
          <w:tcPr>
            <w:tcW w:w="6272" w:type="dxa"/>
            <w:vAlign w:val="center"/>
          </w:tcPr>
          <w:p w14:paraId="3EFBDF97" w14:textId="77777777" w:rsidR="00160081" w:rsidRPr="00160081" w:rsidRDefault="00160081" w:rsidP="00BD3D91">
            <w:pPr>
              <w:tabs>
                <w:tab w:val="left" w:pos="0"/>
              </w:tabs>
              <w:jc w:val="both"/>
              <w:rPr>
                <w:rFonts w:cstheme="minorHAnsi"/>
                <w:color w:val="000000"/>
                <w:sz w:val="20"/>
                <w:szCs w:val="20"/>
                <w:lang w:eastAsia="es-EC"/>
              </w:rPr>
            </w:pPr>
          </w:p>
          <w:p w14:paraId="5FBD76F3"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deberá identificar los posibles riesgos asociados a la implementación de la suite tecnológica integral, además deberá presentar un plan general para mitigar estos riesgos, estableciendo mecanismos de mitigación y contingencia, mecanismos de seguimiento y control a los riesgos identificados y/o mecanismos para la identificación de nuevos riesgos.</w:t>
            </w:r>
          </w:p>
          <w:p w14:paraId="028932FB" w14:textId="77777777" w:rsidR="00160081" w:rsidRPr="00160081" w:rsidRDefault="00160081" w:rsidP="00BD3D91">
            <w:pPr>
              <w:tabs>
                <w:tab w:val="left" w:pos="0"/>
              </w:tabs>
              <w:jc w:val="both"/>
              <w:rPr>
                <w:rFonts w:cstheme="minorHAnsi"/>
                <w:color w:val="000000"/>
                <w:sz w:val="20"/>
                <w:szCs w:val="20"/>
                <w:lang w:eastAsia="es-EC"/>
              </w:rPr>
            </w:pPr>
          </w:p>
          <w:p w14:paraId="64756D78"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Una vez adjudicado el contrato, el contratista en conjunto con la entidad contratante validarán los potenciales riesgos identificados, así como las acciones para el tratamiento, seguimiento y control de los riesgos identificados, y serán incluidos dentro de la Metodología de Trabajo detallada que deberá ser entregada dentro de los plazos previstos.</w:t>
            </w:r>
          </w:p>
        </w:tc>
      </w:tr>
      <w:tr w:rsidR="00160081" w:rsidRPr="00160081" w14:paraId="06689FE7" w14:textId="77777777" w:rsidTr="00BD3D91">
        <w:trPr>
          <w:trHeight w:val="437"/>
          <w:jc w:val="center"/>
        </w:trPr>
        <w:tc>
          <w:tcPr>
            <w:tcW w:w="505" w:type="dxa"/>
            <w:vAlign w:val="center"/>
          </w:tcPr>
          <w:p w14:paraId="724EEAC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10</w:t>
            </w:r>
          </w:p>
        </w:tc>
        <w:tc>
          <w:tcPr>
            <w:tcW w:w="549" w:type="dxa"/>
            <w:vAlign w:val="center"/>
          </w:tcPr>
          <w:p w14:paraId="5892FD8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1A145D3D"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Partes Interesadas</w:t>
            </w:r>
          </w:p>
        </w:tc>
        <w:tc>
          <w:tcPr>
            <w:tcW w:w="6272" w:type="dxa"/>
            <w:vAlign w:val="center"/>
          </w:tcPr>
          <w:p w14:paraId="1A49AE0D"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Durante la ejecución del contrato para la gestión de interesados el contratista en conjunto con la entidad contratante deberá:</w:t>
            </w:r>
          </w:p>
          <w:p w14:paraId="17A6E7BD"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Identificar las partes interesadas.</w:t>
            </w:r>
          </w:p>
          <w:p w14:paraId="79150E48"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Definir las estrategias para gestionar las expectativas de partes interesadas.</w:t>
            </w:r>
          </w:p>
          <w:p w14:paraId="37D1CB14" w14:textId="77777777" w:rsidR="00160081" w:rsidRPr="00160081" w:rsidRDefault="00160081" w:rsidP="00160081">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Preparar el plan de involucramiento de partes interesadas.</w:t>
            </w:r>
          </w:p>
        </w:tc>
      </w:tr>
      <w:tr w:rsidR="00160081" w:rsidRPr="00160081" w14:paraId="55613326" w14:textId="77777777" w:rsidTr="00BD3D91">
        <w:trPr>
          <w:trHeight w:val="437"/>
          <w:jc w:val="center"/>
        </w:trPr>
        <w:tc>
          <w:tcPr>
            <w:tcW w:w="505" w:type="dxa"/>
            <w:vAlign w:val="center"/>
          </w:tcPr>
          <w:p w14:paraId="76CB0807"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11</w:t>
            </w:r>
          </w:p>
        </w:tc>
        <w:tc>
          <w:tcPr>
            <w:tcW w:w="549" w:type="dxa"/>
            <w:vAlign w:val="center"/>
          </w:tcPr>
          <w:p w14:paraId="65FFEDB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264EE14B"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Seguimiento</w:t>
            </w:r>
          </w:p>
        </w:tc>
        <w:tc>
          <w:tcPr>
            <w:tcW w:w="6272" w:type="dxa"/>
            <w:vAlign w:val="center"/>
          </w:tcPr>
          <w:p w14:paraId="3B25B7FD"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Durante la ejecución del contrato, se realizarán reuniones de seguimiento entre el contratista y la entidad contratante para evaluar el normal desenvolvimiento de responsabilidades y cumplimiento del cronograma y plan del proyecto.  El contratista propondrá la periodicidad de estas reuniones y el formato de acta de reunión para el seguimiento correspondiente.</w:t>
            </w:r>
          </w:p>
          <w:p w14:paraId="3110322A"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Cuando el SRI lo requiera el contratista entregará un reporte de los registros de los requerimientos de servicios realizados en un periodo de tiempo determinado, el reporte deberá incluir la identificación del requerimiento, tiempos de respuesta, atención, solución de problemas o incidentes reportados, en un plazo de hasta 2 días calendario contados a partir del siguiente día de lo solicitado por el administrador de contrato.</w:t>
            </w:r>
          </w:p>
        </w:tc>
      </w:tr>
      <w:tr w:rsidR="00160081" w:rsidRPr="00160081" w14:paraId="7D870F0B" w14:textId="77777777" w:rsidTr="00BD3D91">
        <w:trPr>
          <w:trHeight w:val="57"/>
          <w:jc w:val="center"/>
        </w:trPr>
        <w:tc>
          <w:tcPr>
            <w:tcW w:w="505" w:type="dxa"/>
            <w:vAlign w:val="center"/>
          </w:tcPr>
          <w:p w14:paraId="0CF413FF" w14:textId="3EFF4F29"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2</w:t>
            </w:r>
          </w:p>
        </w:tc>
        <w:tc>
          <w:tcPr>
            <w:tcW w:w="549" w:type="dxa"/>
            <w:vAlign w:val="center"/>
          </w:tcPr>
          <w:p w14:paraId="0AAFD34A"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16497376"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Trabajo en sitio o remoto</w:t>
            </w:r>
          </w:p>
        </w:tc>
        <w:tc>
          <w:tcPr>
            <w:tcW w:w="6272" w:type="dxa"/>
            <w:vAlign w:val="center"/>
          </w:tcPr>
          <w:p w14:paraId="1ADF247A"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Por cada fase a ejecutar en el presente contrato, el contratista deberá informar en su propuesta, la modalidad de trabajo del personal técnico mínimo requerido, el cual podrá trabajar en sitio en las instalaciones de la entidad contratante o de forma remota en conjunto con el equipo de trabajo del SRI en mutuo acuerdo.</w:t>
            </w:r>
          </w:p>
        </w:tc>
      </w:tr>
      <w:tr w:rsidR="00160081" w:rsidRPr="00160081" w14:paraId="2105D1A0" w14:textId="77777777" w:rsidTr="00BD3D91">
        <w:trPr>
          <w:trHeight w:val="85"/>
          <w:jc w:val="center"/>
        </w:trPr>
        <w:tc>
          <w:tcPr>
            <w:tcW w:w="505" w:type="dxa"/>
            <w:vAlign w:val="center"/>
          </w:tcPr>
          <w:p w14:paraId="41591813" w14:textId="281B0481"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3</w:t>
            </w:r>
          </w:p>
        </w:tc>
        <w:tc>
          <w:tcPr>
            <w:tcW w:w="549" w:type="dxa"/>
            <w:vAlign w:val="center"/>
          </w:tcPr>
          <w:p w14:paraId="11FD6D24"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4250C88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Espacio físico de trabajo</w:t>
            </w:r>
          </w:p>
        </w:tc>
        <w:tc>
          <w:tcPr>
            <w:tcW w:w="6272" w:type="dxa"/>
            <w:vAlign w:val="center"/>
          </w:tcPr>
          <w:p w14:paraId="302ADE8E"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SRI asignará el espacio físico sobre el personal que se acuerde hará trabajo presencial y el contratista deberá proporcionar a su personal al menos y sin limitarse a, el equipo necesario para realizar su trabajo, como, por ejemplo: computadores, enlace de internet.</w:t>
            </w:r>
          </w:p>
          <w:p w14:paraId="77A8C7CC"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acceso de computadores a la red institucional estará sujeta a los procedimientos de aprobación correspondientes a la institución, si estos son necesarios.</w:t>
            </w:r>
          </w:p>
        </w:tc>
      </w:tr>
      <w:tr w:rsidR="00160081" w:rsidRPr="00160081" w14:paraId="32207047" w14:textId="77777777" w:rsidTr="00BD3D91">
        <w:trPr>
          <w:trHeight w:val="437"/>
          <w:jc w:val="center"/>
        </w:trPr>
        <w:tc>
          <w:tcPr>
            <w:tcW w:w="505" w:type="dxa"/>
            <w:vAlign w:val="center"/>
          </w:tcPr>
          <w:p w14:paraId="7747ABFB" w14:textId="25A33E6A"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4</w:t>
            </w:r>
          </w:p>
        </w:tc>
        <w:tc>
          <w:tcPr>
            <w:tcW w:w="549" w:type="dxa"/>
            <w:vAlign w:val="center"/>
          </w:tcPr>
          <w:p w14:paraId="139DB99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24E6989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Aprobación de la documentación</w:t>
            </w:r>
          </w:p>
        </w:tc>
        <w:tc>
          <w:tcPr>
            <w:tcW w:w="6272" w:type="dxa"/>
            <w:vAlign w:val="center"/>
          </w:tcPr>
          <w:p w14:paraId="3D77FF64"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 xml:space="preserve">La documentación generada por el contratista en la ejecución del objeto del contrato o que sea solicitada por el SRI, deberá contar con la aprobación del administrador del contrato. </w:t>
            </w:r>
          </w:p>
          <w:p w14:paraId="3F8D7DD0"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La entidad contratante reportará al contratista las correcciones que crea pertinentes y revisará que estas hayan sido resueltas previa a su aceptación</w:t>
            </w:r>
          </w:p>
        </w:tc>
      </w:tr>
      <w:tr w:rsidR="00160081" w:rsidRPr="00160081" w14:paraId="59745705" w14:textId="77777777" w:rsidTr="00BD3D91">
        <w:trPr>
          <w:trHeight w:val="437"/>
          <w:jc w:val="center"/>
        </w:trPr>
        <w:tc>
          <w:tcPr>
            <w:tcW w:w="505" w:type="dxa"/>
            <w:vAlign w:val="center"/>
          </w:tcPr>
          <w:p w14:paraId="218013DC" w14:textId="06E3A161"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5</w:t>
            </w:r>
          </w:p>
        </w:tc>
        <w:tc>
          <w:tcPr>
            <w:tcW w:w="549" w:type="dxa"/>
            <w:vAlign w:val="center"/>
          </w:tcPr>
          <w:p w14:paraId="49869E0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4C68B0A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Metodología</w:t>
            </w:r>
          </w:p>
        </w:tc>
        <w:tc>
          <w:tcPr>
            <w:tcW w:w="6272" w:type="dxa"/>
            <w:vAlign w:val="center"/>
          </w:tcPr>
          <w:p w14:paraId="674EEA03"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 xml:space="preserve">Cada entregable será debidamente validado y </w:t>
            </w:r>
            <w:r w:rsidRPr="00160081">
              <w:rPr>
                <w:rFonts w:cstheme="minorHAnsi"/>
                <w:color w:val="000000"/>
                <w:sz w:val="20"/>
                <w:szCs w:val="20"/>
              </w:rPr>
              <w:t>aprobado</w:t>
            </w:r>
            <w:r w:rsidRPr="00160081">
              <w:rPr>
                <w:rFonts w:cstheme="minorHAnsi"/>
                <w:color w:val="000000"/>
                <w:sz w:val="20"/>
                <w:szCs w:val="20"/>
                <w:lang w:eastAsia="es-EC"/>
              </w:rPr>
              <w:t xml:space="preserve"> por la entidad contratante a través de la unidad responsable designada y será informado al administrador del contrato. En caso de existir correcciones, el contratista deberá solventarlos conforme el tiempo acordado entre las partes.</w:t>
            </w:r>
          </w:p>
        </w:tc>
      </w:tr>
      <w:tr w:rsidR="00160081" w:rsidRPr="00160081" w14:paraId="36E8093D" w14:textId="77777777" w:rsidTr="00BD3D91">
        <w:trPr>
          <w:trHeight w:val="437"/>
          <w:jc w:val="center"/>
        </w:trPr>
        <w:tc>
          <w:tcPr>
            <w:tcW w:w="505" w:type="dxa"/>
            <w:vAlign w:val="center"/>
          </w:tcPr>
          <w:p w14:paraId="5F3B442A" w14:textId="1263A2FB"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6</w:t>
            </w:r>
          </w:p>
        </w:tc>
        <w:tc>
          <w:tcPr>
            <w:tcW w:w="549" w:type="dxa"/>
            <w:vAlign w:val="center"/>
          </w:tcPr>
          <w:p w14:paraId="7FB2E7EE" w14:textId="77777777" w:rsidR="00160081" w:rsidRPr="00160081" w:rsidRDefault="00160081" w:rsidP="00BD3D91">
            <w:pPr>
              <w:jc w:val="center"/>
              <w:rPr>
                <w:rFonts w:cstheme="minorHAnsi"/>
                <w:color w:val="000000"/>
                <w:sz w:val="20"/>
                <w:szCs w:val="20"/>
                <w:lang w:eastAsia="es-EC"/>
              </w:rPr>
            </w:pPr>
            <w:bookmarkStart w:id="38" w:name="_Hlk187739915"/>
            <w:r w:rsidRPr="00160081">
              <w:rPr>
                <w:rFonts w:cstheme="minorHAnsi"/>
                <w:color w:val="000000"/>
                <w:sz w:val="20"/>
                <w:szCs w:val="20"/>
                <w:lang w:eastAsia="es-EC"/>
              </w:rPr>
              <w:t>Fase 1</w:t>
            </w:r>
          </w:p>
        </w:tc>
        <w:tc>
          <w:tcPr>
            <w:tcW w:w="2024" w:type="dxa"/>
            <w:vAlign w:val="center"/>
          </w:tcPr>
          <w:p w14:paraId="0D788C27"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Metodología</w:t>
            </w:r>
          </w:p>
        </w:tc>
        <w:tc>
          <w:tcPr>
            <w:tcW w:w="6272" w:type="dxa"/>
            <w:vAlign w:val="center"/>
          </w:tcPr>
          <w:p w14:paraId="64A55CDA"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Todo entregable será acompañado por la documentación relacionada como, por ejemplo: requerimiento u orden de trabajo detallados, actas de aceptación funcional, actas de prueba, código fuente de los desarrollos personalizados y de los modelos analíticos implementados, etc., las cuales serán entregadas en medios digitales debidamente etiquetados y con firmas de responsabilidad.</w:t>
            </w:r>
          </w:p>
        </w:tc>
      </w:tr>
      <w:tr w:rsidR="00160081" w:rsidRPr="00160081" w14:paraId="7D3D211D" w14:textId="77777777" w:rsidTr="00BD3D91">
        <w:trPr>
          <w:trHeight w:val="437"/>
          <w:jc w:val="center"/>
        </w:trPr>
        <w:tc>
          <w:tcPr>
            <w:tcW w:w="505" w:type="dxa"/>
            <w:vAlign w:val="center"/>
          </w:tcPr>
          <w:p w14:paraId="7EB72E2A" w14:textId="5101C87D"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7</w:t>
            </w:r>
          </w:p>
        </w:tc>
        <w:bookmarkEnd w:id="38"/>
        <w:tc>
          <w:tcPr>
            <w:tcW w:w="549" w:type="dxa"/>
            <w:vAlign w:val="center"/>
          </w:tcPr>
          <w:p w14:paraId="54730CA0"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5CB82A45"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Metodología </w:t>
            </w:r>
          </w:p>
        </w:tc>
        <w:tc>
          <w:tcPr>
            <w:tcW w:w="6272" w:type="dxa"/>
            <w:vAlign w:val="center"/>
          </w:tcPr>
          <w:p w14:paraId="203A723C"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Al cierre del proyecto el contratista deberá recopilar y entregar en medios digitales y con firmas de responsabilidad, al administrador de contrato, al menos y sin limitarse a</w:t>
            </w:r>
            <w:r w:rsidRPr="00160081" w:rsidDel="00700A59">
              <w:rPr>
                <w:rFonts w:cstheme="minorHAnsi"/>
                <w:color w:val="000000"/>
                <w:sz w:val="20"/>
                <w:szCs w:val="20"/>
                <w:lang w:eastAsia="es-EC"/>
              </w:rPr>
              <w:t xml:space="preserve">, </w:t>
            </w:r>
            <w:r w:rsidRPr="00160081">
              <w:rPr>
                <w:rFonts w:cstheme="minorHAnsi"/>
                <w:color w:val="000000"/>
                <w:sz w:val="20"/>
                <w:szCs w:val="20"/>
                <w:lang w:eastAsia="es-EC"/>
              </w:rPr>
              <w:t>toda la información (documentos, manuales, actas, informes) generada en la ejecución del contrato y código fuente de los desarrollos personalizados y de los modelos analíticos implementados durante la vigencia del contrato.</w:t>
            </w:r>
          </w:p>
        </w:tc>
      </w:tr>
      <w:tr w:rsidR="00160081" w:rsidRPr="00160081" w14:paraId="0DB1FF84" w14:textId="77777777" w:rsidTr="00BD3D91">
        <w:trPr>
          <w:trHeight w:val="437"/>
          <w:jc w:val="center"/>
        </w:trPr>
        <w:tc>
          <w:tcPr>
            <w:tcW w:w="505" w:type="dxa"/>
            <w:vAlign w:val="center"/>
          </w:tcPr>
          <w:p w14:paraId="2D2C5404" w14:textId="49B5A6AC"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1</w:t>
            </w:r>
            <w:r w:rsidR="00CA02A6">
              <w:rPr>
                <w:rFonts w:cstheme="minorHAnsi"/>
                <w:color w:val="000000"/>
                <w:sz w:val="20"/>
                <w:szCs w:val="20"/>
                <w:lang w:eastAsia="es-EC"/>
              </w:rPr>
              <w:t>8</w:t>
            </w:r>
          </w:p>
        </w:tc>
        <w:tc>
          <w:tcPr>
            <w:tcW w:w="549" w:type="dxa"/>
            <w:vAlign w:val="center"/>
          </w:tcPr>
          <w:p w14:paraId="189FE84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499FE3C8"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Comunicación entre las partes</w:t>
            </w:r>
          </w:p>
        </w:tc>
        <w:tc>
          <w:tcPr>
            <w:tcW w:w="6272" w:type="dxa"/>
            <w:vAlign w:val="center"/>
          </w:tcPr>
          <w:p w14:paraId="15F25BA1"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SRI designará al administrador del contrato, quién será el medio de comunicación entre la entidad contratante y el contratista, a través de documentos escritos o correo electrónico; además, previo a la firma del acta entrega recepción validará el cumplimiento de los términos de referencia a satisfacción</w:t>
            </w:r>
          </w:p>
        </w:tc>
      </w:tr>
      <w:tr w:rsidR="00160081" w:rsidRPr="00160081" w14:paraId="6A85472C" w14:textId="77777777" w:rsidTr="00BD3D91">
        <w:trPr>
          <w:trHeight w:val="437"/>
          <w:jc w:val="center"/>
        </w:trPr>
        <w:tc>
          <w:tcPr>
            <w:tcW w:w="505" w:type="dxa"/>
            <w:vAlign w:val="center"/>
          </w:tcPr>
          <w:p w14:paraId="00A41E22" w14:textId="3B21661E" w:rsidR="00160081" w:rsidRPr="00160081" w:rsidRDefault="00CA02A6" w:rsidP="00BD3D91">
            <w:pPr>
              <w:jc w:val="center"/>
              <w:rPr>
                <w:rFonts w:cstheme="minorHAnsi"/>
                <w:color w:val="000000"/>
                <w:sz w:val="20"/>
                <w:szCs w:val="20"/>
                <w:lang w:eastAsia="es-EC"/>
              </w:rPr>
            </w:pPr>
            <w:r>
              <w:rPr>
                <w:rFonts w:cstheme="minorHAnsi"/>
                <w:color w:val="000000"/>
                <w:sz w:val="20"/>
                <w:szCs w:val="20"/>
                <w:lang w:eastAsia="es-EC"/>
              </w:rPr>
              <w:t>19</w:t>
            </w:r>
          </w:p>
        </w:tc>
        <w:tc>
          <w:tcPr>
            <w:tcW w:w="549" w:type="dxa"/>
            <w:vAlign w:val="center"/>
          </w:tcPr>
          <w:p w14:paraId="3324B427"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221FFFAF"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Contraparte</w:t>
            </w:r>
          </w:p>
        </w:tc>
        <w:tc>
          <w:tcPr>
            <w:tcW w:w="6272" w:type="dxa"/>
            <w:vAlign w:val="center"/>
          </w:tcPr>
          <w:p w14:paraId="40A08E70"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por su parte asignará igualmente una contraparte única de trabajo.</w:t>
            </w:r>
          </w:p>
        </w:tc>
      </w:tr>
      <w:tr w:rsidR="00160081" w:rsidRPr="00160081" w14:paraId="505EF1E1" w14:textId="77777777" w:rsidTr="00BD3D91">
        <w:trPr>
          <w:trHeight w:val="58"/>
          <w:jc w:val="center"/>
        </w:trPr>
        <w:tc>
          <w:tcPr>
            <w:tcW w:w="505" w:type="dxa"/>
            <w:vAlign w:val="center"/>
          </w:tcPr>
          <w:p w14:paraId="16085B79" w14:textId="2FC8B7F8"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2</w:t>
            </w:r>
            <w:r w:rsidR="00CA02A6">
              <w:rPr>
                <w:rFonts w:cstheme="minorHAnsi"/>
                <w:color w:val="000000"/>
                <w:sz w:val="20"/>
                <w:szCs w:val="20"/>
                <w:lang w:eastAsia="es-EC"/>
              </w:rPr>
              <w:t>0</w:t>
            </w:r>
          </w:p>
        </w:tc>
        <w:tc>
          <w:tcPr>
            <w:tcW w:w="549" w:type="dxa"/>
            <w:vAlign w:val="center"/>
          </w:tcPr>
          <w:p w14:paraId="59A9E76E"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662042D2"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Datos y contacto</w:t>
            </w:r>
          </w:p>
        </w:tc>
        <w:tc>
          <w:tcPr>
            <w:tcW w:w="6272" w:type="dxa"/>
            <w:vAlign w:val="center"/>
          </w:tcPr>
          <w:p w14:paraId="7EB066A6" w14:textId="77777777" w:rsidR="00160081" w:rsidRPr="00160081" w:rsidRDefault="00160081" w:rsidP="00BD3D91">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notificará al administrador de contrato del SRI, al día siguiente de la firma de contrato, los datos d</w:t>
            </w:r>
            <w:r w:rsidRPr="00160081">
              <w:rPr>
                <w:rStyle w:val="Refdecomentario"/>
                <w:rFonts w:cstheme="minorHAnsi"/>
                <w:sz w:val="20"/>
                <w:szCs w:val="20"/>
              </w:rPr>
              <w:t>e</w:t>
            </w:r>
            <w:r w:rsidRPr="00160081">
              <w:rPr>
                <w:rFonts w:cstheme="minorHAnsi"/>
                <w:color w:val="000000"/>
                <w:sz w:val="20"/>
                <w:szCs w:val="20"/>
                <w:lang w:eastAsia="es-EC"/>
              </w:rPr>
              <w:t xml:space="preserve"> contacto de la persona que cumplirá el rol de gerente del proyecto, quien será el responsable de coordinar con el administrador de contrato todo lo solicitado en el presente documento. La persona designada por el contratista deberá cumplir con el perfil establecido en la sección 5.2 Personal técnico mínimo.</w:t>
            </w:r>
          </w:p>
        </w:tc>
      </w:tr>
      <w:tr w:rsidR="00160081" w:rsidRPr="00160081" w14:paraId="54BBFE25" w14:textId="77777777" w:rsidTr="00BD3D91">
        <w:trPr>
          <w:trHeight w:val="58"/>
          <w:jc w:val="center"/>
        </w:trPr>
        <w:tc>
          <w:tcPr>
            <w:tcW w:w="505" w:type="dxa"/>
            <w:vAlign w:val="center"/>
          </w:tcPr>
          <w:p w14:paraId="65721D14" w14:textId="212DBA4A" w:rsidR="00160081" w:rsidRPr="00160081" w:rsidRDefault="00160081" w:rsidP="00BD3D91">
            <w:pPr>
              <w:jc w:val="center"/>
              <w:rPr>
                <w:rFonts w:cstheme="minorHAnsi"/>
                <w:color w:val="000000"/>
                <w:sz w:val="20"/>
                <w:szCs w:val="20"/>
                <w:lang w:eastAsia="es-EC"/>
              </w:rPr>
            </w:pPr>
            <w:r w:rsidRPr="00160081">
              <w:rPr>
                <w:rFonts w:cstheme="minorHAnsi"/>
                <w:sz w:val="20"/>
                <w:szCs w:val="20"/>
              </w:rPr>
              <w:t>2</w:t>
            </w:r>
            <w:r w:rsidR="00CA02A6">
              <w:rPr>
                <w:rFonts w:cstheme="minorHAnsi"/>
                <w:sz w:val="20"/>
                <w:szCs w:val="20"/>
              </w:rPr>
              <w:t>1</w:t>
            </w:r>
          </w:p>
        </w:tc>
        <w:tc>
          <w:tcPr>
            <w:tcW w:w="549" w:type="dxa"/>
            <w:vAlign w:val="center"/>
          </w:tcPr>
          <w:p w14:paraId="65D26806"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Fase 1</w:t>
            </w:r>
          </w:p>
        </w:tc>
        <w:tc>
          <w:tcPr>
            <w:tcW w:w="2024" w:type="dxa"/>
            <w:vAlign w:val="center"/>
          </w:tcPr>
          <w:p w14:paraId="53ED8D43" w14:textId="77777777"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 xml:space="preserve"> Escalamiento de problemas, incidentes y soporte</w:t>
            </w:r>
          </w:p>
        </w:tc>
        <w:tc>
          <w:tcPr>
            <w:tcW w:w="6272" w:type="dxa"/>
            <w:vAlign w:val="center"/>
          </w:tcPr>
          <w:p w14:paraId="5B51306F" w14:textId="77777777" w:rsidR="00160081" w:rsidRPr="00160081" w:rsidRDefault="00160081" w:rsidP="00BD3D91">
            <w:pPr>
              <w:tabs>
                <w:tab w:val="left" w:pos="0"/>
              </w:tabs>
              <w:jc w:val="both"/>
              <w:rPr>
                <w:rFonts w:cstheme="minorHAnsi"/>
                <w:color w:val="000000"/>
                <w:sz w:val="20"/>
                <w:szCs w:val="20"/>
                <w:lang w:eastAsia="es-EC"/>
              </w:rPr>
            </w:pPr>
            <w:r w:rsidRPr="00160081">
              <w:rPr>
                <w:rFonts w:eastAsia="Calibri" w:cstheme="minorHAnsi"/>
                <w:color w:val="000000"/>
                <w:sz w:val="20"/>
                <w:szCs w:val="20"/>
                <w:lang w:eastAsia="es-EC"/>
              </w:rPr>
              <w:t>La metodología de trabajo para el escalamiento de problemas, incidentes y soporte de la solución tecnológica contratada, que cumpla con lo descrito en la sección 8. Soporte y mantenimiento.</w:t>
            </w:r>
          </w:p>
        </w:tc>
      </w:tr>
      <w:tr w:rsidR="00160081" w:rsidRPr="00160081" w14:paraId="43996AD3" w14:textId="77777777" w:rsidTr="00BD3D91">
        <w:trPr>
          <w:trHeight w:val="437"/>
          <w:jc w:val="center"/>
        </w:trPr>
        <w:tc>
          <w:tcPr>
            <w:tcW w:w="505" w:type="dxa"/>
            <w:vAlign w:val="center"/>
          </w:tcPr>
          <w:p w14:paraId="4B11B9E4" w14:textId="11F0D035" w:rsidR="00160081" w:rsidRPr="00160081" w:rsidRDefault="00160081" w:rsidP="00BD3D91">
            <w:pPr>
              <w:jc w:val="center"/>
              <w:rPr>
                <w:rFonts w:cstheme="minorHAnsi"/>
                <w:color w:val="000000"/>
                <w:sz w:val="20"/>
                <w:szCs w:val="20"/>
                <w:lang w:eastAsia="es-EC"/>
              </w:rPr>
            </w:pPr>
            <w:r w:rsidRPr="00160081">
              <w:rPr>
                <w:rFonts w:cstheme="minorHAnsi"/>
                <w:color w:val="000000"/>
                <w:sz w:val="20"/>
                <w:szCs w:val="20"/>
                <w:lang w:eastAsia="es-EC"/>
              </w:rPr>
              <w:t>2</w:t>
            </w:r>
            <w:r w:rsidR="00CA02A6">
              <w:rPr>
                <w:rFonts w:cstheme="minorHAnsi"/>
                <w:color w:val="000000"/>
                <w:sz w:val="20"/>
                <w:szCs w:val="20"/>
                <w:lang w:eastAsia="es-EC"/>
              </w:rPr>
              <w:t>2</w:t>
            </w:r>
          </w:p>
        </w:tc>
        <w:tc>
          <w:tcPr>
            <w:tcW w:w="549" w:type="dxa"/>
            <w:vAlign w:val="center"/>
          </w:tcPr>
          <w:p w14:paraId="0215419D" w14:textId="77777777" w:rsidR="00160081" w:rsidRPr="00160081" w:rsidRDefault="00160081" w:rsidP="00BD3D91">
            <w:pPr>
              <w:jc w:val="center"/>
              <w:rPr>
                <w:rFonts w:cstheme="minorHAnsi"/>
                <w:sz w:val="20"/>
                <w:szCs w:val="20"/>
              </w:rPr>
            </w:pPr>
            <w:r w:rsidRPr="00160081">
              <w:rPr>
                <w:rFonts w:cstheme="minorHAnsi"/>
                <w:color w:val="000000"/>
                <w:sz w:val="20"/>
                <w:szCs w:val="20"/>
                <w:lang w:eastAsia="es-EC"/>
              </w:rPr>
              <w:t>Fase 2</w:t>
            </w:r>
          </w:p>
        </w:tc>
        <w:tc>
          <w:tcPr>
            <w:tcW w:w="2024" w:type="dxa"/>
            <w:vAlign w:val="center"/>
          </w:tcPr>
          <w:p w14:paraId="0482D917" w14:textId="77777777" w:rsidR="00160081" w:rsidRPr="00160081" w:rsidRDefault="00160081" w:rsidP="00BD3D91">
            <w:pPr>
              <w:jc w:val="center"/>
              <w:rPr>
                <w:rFonts w:cstheme="minorHAnsi"/>
                <w:sz w:val="20"/>
                <w:szCs w:val="20"/>
              </w:rPr>
            </w:pPr>
            <w:r w:rsidRPr="00160081">
              <w:rPr>
                <w:rFonts w:cstheme="minorHAnsi"/>
                <w:sz w:val="20"/>
                <w:szCs w:val="20"/>
              </w:rPr>
              <w:t>Habilitación del servicio a implementar</w:t>
            </w:r>
          </w:p>
        </w:tc>
        <w:tc>
          <w:tcPr>
            <w:tcW w:w="6272" w:type="dxa"/>
            <w:vAlign w:val="center"/>
          </w:tcPr>
          <w:p w14:paraId="2ACEEB8D"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 xml:space="preserve">El contratista deberá asegurar la </w:t>
            </w:r>
            <w:bookmarkStart w:id="39" w:name="OLE_LINK66"/>
            <w:r w:rsidRPr="00160081">
              <w:rPr>
                <w:rFonts w:asciiTheme="minorHAnsi" w:hAnsiTheme="minorHAnsi" w:cstheme="minorHAnsi"/>
                <w:sz w:val="20"/>
                <w:szCs w:val="20"/>
              </w:rPr>
              <w:t>habilitación integral y oportuna de todos los servicios, componentes y capacidades técnicas necesarias para la correcta implementación, puesta en operación y funcionamiento continuo de la suite tecnológica integral, de conformidad con el alcance contractual y los requerimientos técnicos y no funcionales definidos en el presente documento.</w:t>
            </w:r>
          </w:p>
          <w:bookmarkEnd w:id="39"/>
          <w:p w14:paraId="5F2F406D" w14:textId="77777777" w:rsidR="00160081" w:rsidRPr="00160081" w:rsidRDefault="00160081" w:rsidP="00BD3D91">
            <w:pPr>
              <w:pStyle w:val="NormalWeb"/>
              <w:spacing w:after="0"/>
              <w:jc w:val="both"/>
              <w:rPr>
                <w:rFonts w:asciiTheme="minorHAnsi" w:hAnsiTheme="minorHAnsi" w:cstheme="minorHAnsi"/>
                <w:sz w:val="20"/>
                <w:szCs w:val="20"/>
              </w:rPr>
            </w:pPr>
          </w:p>
          <w:p w14:paraId="32C779BE"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La habilitación del servicio comprende, como mínimo, el aprovisionamiento, instalación, configuración, parametrización inicial y validación operativa de todos los componentes de la suite, incluyendo el BPMS, BRMS, ECM, SGRT y los módulos complementarios que formen parte de la solución ofertada, así como sus dependencias técnicas, mecanismos de integración, herramientas de administración, monitoreo y seguridad.</w:t>
            </w:r>
          </w:p>
          <w:p w14:paraId="29962B9E" w14:textId="77777777" w:rsidR="00160081" w:rsidRPr="00160081" w:rsidRDefault="00160081" w:rsidP="00BD3D91">
            <w:pPr>
              <w:pStyle w:val="NormalWeb"/>
              <w:spacing w:after="0"/>
              <w:rPr>
                <w:rFonts w:asciiTheme="minorHAnsi" w:hAnsiTheme="minorHAnsi" w:cstheme="minorHAnsi"/>
                <w:sz w:val="20"/>
                <w:szCs w:val="20"/>
              </w:rPr>
            </w:pPr>
          </w:p>
          <w:p w14:paraId="01140BB8"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 xml:space="preserve">El contratista será responsable de garantizar que todos los servicios requeridos para la operación de la suite se encuentren plenamente habilitados en los ambientes definidos por el SRI (No Productivos, Productivos y Contingencia), asegurando su correcta interoperabilidad, estabilidad, seguridad y alineación con la arquitectura institucional. Esto incluye la correcta configuración de servicios de autenticación e identidad, integración con sistemas existentes, mecanismos de mensajería, </w:t>
            </w:r>
            <w:proofErr w:type="spellStart"/>
            <w:r w:rsidRPr="00160081">
              <w:rPr>
                <w:rFonts w:asciiTheme="minorHAnsi" w:hAnsiTheme="minorHAnsi" w:cstheme="minorHAnsi"/>
                <w:sz w:val="20"/>
                <w:szCs w:val="20"/>
              </w:rPr>
              <w:t>APIs</w:t>
            </w:r>
            <w:proofErr w:type="spellEnd"/>
            <w:r w:rsidRPr="00160081">
              <w:rPr>
                <w:rFonts w:asciiTheme="minorHAnsi" w:hAnsiTheme="minorHAnsi" w:cstheme="minorHAnsi"/>
                <w:sz w:val="20"/>
                <w:szCs w:val="20"/>
              </w:rPr>
              <w:t>, generación de documentos, firma electrónica, auditoría, monitoreo y respaldo, sin trasladar cargas operativas o técnicas adicionales al SRI.</w:t>
            </w:r>
          </w:p>
          <w:p w14:paraId="7912319C" w14:textId="77777777" w:rsidR="00160081" w:rsidRPr="00160081" w:rsidRDefault="00160081" w:rsidP="00BD3D91">
            <w:pPr>
              <w:pStyle w:val="NormalWeb"/>
              <w:spacing w:after="0"/>
              <w:jc w:val="both"/>
              <w:rPr>
                <w:rFonts w:asciiTheme="minorHAnsi" w:hAnsiTheme="minorHAnsi" w:cstheme="minorHAnsi"/>
                <w:sz w:val="20"/>
                <w:szCs w:val="20"/>
              </w:rPr>
            </w:pPr>
          </w:p>
          <w:p w14:paraId="4A062E79"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Asimismo, el contratista deberá asegurar que la habilitación del servicio considere todas las licencias de software requeridas, los componentes del fabricante, las herramientas auxiliares y los servicios técnicos necesarios para la operación normal de la solución durante la vigencia contractual, conforme al modelo de licenciamiento definido. En ningún caso la falta de habilitación de un componente, servicio o dependencia podrá ser utilizada como justificación para incumplimientos funcionales, técnicos, de rendimiento o de niveles de servicio.</w:t>
            </w:r>
          </w:p>
          <w:p w14:paraId="6A31C6A0" w14:textId="77777777" w:rsidR="00160081" w:rsidRPr="00160081" w:rsidRDefault="00160081" w:rsidP="00BD3D91">
            <w:pPr>
              <w:pStyle w:val="NormalWeb"/>
              <w:spacing w:after="0"/>
              <w:jc w:val="both"/>
              <w:rPr>
                <w:rFonts w:asciiTheme="minorHAnsi" w:hAnsiTheme="minorHAnsi" w:cstheme="minorHAnsi"/>
                <w:sz w:val="20"/>
                <w:szCs w:val="20"/>
              </w:rPr>
            </w:pPr>
          </w:p>
          <w:p w14:paraId="129DCCD5"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Como parte de la habilitación, el contratista deberá ejecutar pruebas técnicas y funcionales que permitan validar que todos los servicios se encuentran correctamente operativos, integrados y configurados, entregando al SRI la evidencia correspondiente y la documentación técnica asociada. La habilitación del servicio se considerará completa únicamente cuando el SRI haya verificado y aceptado formalmente que la suite se encuentra plenamente operativa conforme a los criterios de aceptación definidos en el contrato.</w:t>
            </w:r>
          </w:p>
          <w:p w14:paraId="4AC7BFA6" w14:textId="77777777" w:rsidR="00160081" w:rsidRPr="00160081" w:rsidRDefault="00160081" w:rsidP="00BD3D91">
            <w:pPr>
              <w:pStyle w:val="NormalWeb"/>
              <w:spacing w:after="0"/>
              <w:jc w:val="both"/>
              <w:rPr>
                <w:rFonts w:asciiTheme="minorHAnsi" w:hAnsiTheme="minorHAnsi" w:cstheme="minorHAnsi"/>
                <w:sz w:val="20"/>
                <w:szCs w:val="20"/>
              </w:rPr>
            </w:pPr>
          </w:p>
          <w:p w14:paraId="6C102CF4" w14:textId="77777777" w:rsidR="00160081" w:rsidRPr="00160081" w:rsidRDefault="00160081" w:rsidP="00BD3D91">
            <w:pPr>
              <w:pStyle w:val="NormalWeb"/>
              <w:spacing w:after="0"/>
              <w:jc w:val="both"/>
              <w:rPr>
                <w:rFonts w:asciiTheme="minorHAnsi" w:hAnsiTheme="minorHAnsi" w:cstheme="minorHAnsi"/>
                <w:sz w:val="20"/>
                <w:szCs w:val="20"/>
              </w:rPr>
            </w:pPr>
            <w:r w:rsidRPr="00160081">
              <w:rPr>
                <w:rFonts w:asciiTheme="minorHAnsi" w:hAnsiTheme="minorHAnsi" w:cstheme="minorHAnsi"/>
                <w:sz w:val="20"/>
                <w:szCs w:val="20"/>
              </w:rPr>
              <w:t>Finalmente, el contratista deberá garantizar que la habilitación del servicio se realice siguiendo las buenas prácticas del fabricante, los lineamientos de seguridad institucionales, los procedimientos de gestión de cambios y el modelo de integración y gobernanza definido para la suite, asegurando que la solución quede preparada para su operación sostenida, evolución controlada y soporte continuo</w:t>
            </w:r>
          </w:p>
        </w:tc>
      </w:tr>
      <w:tr w:rsidR="00160081" w:rsidRPr="00160081" w14:paraId="6A083FD2" w14:textId="77777777" w:rsidTr="00BD3D91">
        <w:trPr>
          <w:trHeight w:val="437"/>
          <w:jc w:val="center"/>
        </w:trPr>
        <w:tc>
          <w:tcPr>
            <w:tcW w:w="505" w:type="dxa"/>
            <w:vAlign w:val="center"/>
          </w:tcPr>
          <w:p w14:paraId="6FA406ED" w14:textId="6A73574D" w:rsidR="00160081" w:rsidRPr="00160081" w:rsidRDefault="00160081" w:rsidP="00BD3D91">
            <w:pPr>
              <w:jc w:val="center"/>
              <w:rPr>
                <w:rFonts w:cstheme="minorHAnsi"/>
                <w:color w:val="000000"/>
                <w:sz w:val="20"/>
                <w:szCs w:val="20"/>
                <w:lang w:eastAsia="es-EC"/>
              </w:rPr>
            </w:pPr>
            <w:bookmarkStart w:id="40" w:name="OLE_LINK95"/>
            <w:r w:rsidRPr="00160081">
              <w:rPr>
                <w:rFonts w:cstheme="minorHAnsi"/>
                <w:color w:val="000000"/>
                <w:sz w:val="20"/>
                <w:szCs w:val="20"/>
                <w:lang w:eastAsia="es-EC"/>
              </w:rPr>
              <w:t>2</w:t>
            </w:r>
            <w:r w:rsidR="00CA02A6">
              <w:rPr>
                <w:rFonts w:cstheme="minorHAnsi"/>
                <w:color w:val="000000"/>
                <w:sz w:val="20"/>
                <w:szCs w:val="20"/>
                <w:lang w:eastAsia="es-EC"/>
              </w:rPr>
              <w:t>3</w:t>
            </w:r>
          </w:p>
        </w:tc>
        <w:tc>
          <w:tcPr>
            <w:tcW w:w="549" w:type="dxa"/>
            <w:vAlign w:val="center"/>
          </w:tcPr>
          <w:p w14:paraId="02AAAFFB" w14:textId="77777777" w:rsidR="00160081" w:rsidRPr="00160081" w:rsidRDefault="00160081" w:rsidP="00BD3D91">
            <w:pPr>
              <w:jc w:val="center"/>
              <w:rPr>
                <w:rFonts w:cstheme="minorHAnsi"/>
                <w:sz w:val="20"/>
                <w:szCs w:val="20"/>
              </w:rPr>
            </w:pPr>
            <w:r w:rsidRPr="00160081">
              <w:rPr>
                <w:rFonts w:cstheme="minorHAnsi"/>
                <w:color w:val="000000"/>
                <w:sz w:val="20"/>
                <w:szCs w:val="20"/>
                <w:lang w:eastAsia="es-EC"/>
              </w:rPr>
              <w:t>Fase 2</w:t>
            </w:r>
          </w:p>
        </w:tc>
        <w:tc>
          <w:tcPr>
            <w:tcW w:w="2024" w:type="dxa"/>
            <w:vAlign w:val="center"/>
          </w:tcPr>
          <w:p w14:paraId="692DE9A7" w14:textId="77777777" w:rsidR="00160081" w:rsidRPr="00160081" w:rsidRDefault="00160081" w:rsidP="00BD3D91">
            <w:pPr>
              <w:jc w:val="center"/>
              <w:rPr>
                <w:rFonts w:cstheme="minorHAnsi"/>
                <w:sz w:val="20"/>
                <w:szCs w:val="20"/>
              </w:rPr>
            </w:pPr>
            <w:r w:rsidRPr="00160081">
              <w:rPr>
                <w:rFonts w:cstheme="minorHAnsi"/>
                <w:sz w:val="20"/>
                <w:szCs w:val="20"/>
              </w:rPr>
              <w:t>Notificación solución lista</w:t>
            </w:r>
          </w:p>
        </w:tc>
        <w:tc>
          <w:tcPr>
            <w:tcW w:w="6272" w:type="dxa"/>
            <w:vAlign w:val="center"/>
          </w:tcPr>
          <w:p w14:paraId="216991BA" w14:textId="77777777" w:rsidR="00160081" w:rsidRPr="00160081" w:rsidRDefault="00160081" w:rsidP="00BD3D91">
            <w:pPr>
              <w:tabs>
                <w:tab w:val="left" w:pos="0"/>
              </w:tabs>
              <w:jc w:val="both"/>
              <w:rPr>
                <w:rFonts w:cstheme="minorHAnsi"/>
                <w:color w:val="000000"/>
                <w:sz w:val="20"/>
                <w:szCs w:val="20"/>
                <w:lang w:eastAsia="es-EC"/>
              </w:rPr>
            </w:pPr>
            <w:bookmarkStart w:id="41" w:name="OLE_LINK67"/>
            <w:r w:rsidRPr="00160081">
              <w:rPr>
                <w:rFonts w:cstheme="minorHAnsi"/>
                <w:color w:val="000000"/>
                <w:sz w:val="20"/>
                <w:szCs w:val="20"/>
                <w:lang w:eastAsia="es-EC"/>
              </w:rPr>
              <w:t>El contratista notificará al administrador de contrato cuando la solución esté lista y la configuración iniciará en los plazos establecidos en el cronograma desde la notificación por parte del administrador de contrato.</w:t>
            </w:r>
            <w:bookmarkEnd w:id="41"/>
          </w:p>
        </w:tc>
      </w:tr>
      <w:bookmarkEnd w:id="40"/>
      <w:tr w:rsidR="00CA02A6" w:rsidRPr="00160081" w14:paraId="1FA8C8F5" w14:textId="77777777" w:rsidTr="00BD3D91">
        <w:trPr>
          <w:trHeight w:val="437"/>
          <w:jc w:val="center"/>
        </w:trPr>
        <w:tc>
          <w:tcPr>
            <w:tcW w:w="505" w:type="dxa"/>
            <w:vAlign w:val="center"/>
          </w:tcPr>
          <w:p w14:paraId="59853E6B" w14:textId="6E4D54F2" w:rsidR="00CA02A6" w:rsidRPr="00160081" w:rsidRDefault="00CA02A6" w:rsidP="00CA02A6">
            <w:pPr>
              <w:jc w:val="center"/>
              <w:rPr>
                <w:rFonts w:cstheme="minorHAnsi"/>
                <w:sz w:val="20"/>
                <w:szCs w:val="20"/>
              </w:rPr>
            </w:pPr>
            <w:r w:rsidRPr="00160081">
              <w:rPr>
                <w:rFonts w:cstheme="minorHAnsi"/>
                <w:color w:val="000000"/>
                <w:sz w:val="20"/>
                <w:szCs w:val="20"/>
                <w:lang w:eastAsia="es-EC"/>
              </w:rPr>
              <w:t>24</w:t>
            </w:r>
          </w:p>
        </w:tc>
        <w:tc>
          <w:tcPr>
            <w:tcW w:w="549" w:type="dxa"/>
            <w:vAlign w:val="center"/>
          </w:tcPr>
          <w:p w14:paraId="67B8749F" w14:textId="77777777" w:rsidR="00CA02A6" w:rsidRPr="00160081" w:rsidRDefault="00CA02A6" w:rsidP="00CA02A6">
            <w:pPr>
              <w:jc w:val="center"/>
              <w:rPr>
                <w:rFonts w:cstheme="minorHAnsi"/>
                <w:sz w:val="20"/>
                <w:szCs w:val="20"/>
              </w:rPr>
            </w:pPr>
            <w:r w:rsidRPr="00160081">
              <w:rPr>
                <w:rFonts w:cstheme="minorHAnsi"/>
                <w:sz w:val="20"/>
                <w:szCs w:val="20"/>
              </w:rPr>
              <w:t>Fase 3</w:t>
            </w:r>
          </w:p>
        </w:tc>
        <w:tc>
          <w:tcPr>
            <w:tcW w:w="2024" w:type="dxa"/>
            <w:vAlign w:val="center"/>
          </w:tcPr>
          <w:p w14:paraId="2A5EEB3A" w14:textId="77777777" w:rsidR="00CA02A6" w:rsidRPr="00160081" w:rsidRDefault="00CA02A6" w:rsidP="00CA02A6">
            <w:pPr>
              <w:jc w:val="center"/>
              <w:rPr>
                <w:rFonts w:cstheme="minorHAnsi"/>
                <w:sz w:val="20"/>
                <w:szCs w:val="20"/>
              </w:rPr>
            </w:pPr>
            <w:r w:rsidRPr="00160081">
              <w:rPr>
                <w:rFonts w:cstheme="minorHAnsi"/>
                <w:sz w:val="20"/>
                <w:szCs w:val="20"/>
              </w:rPr>
              <w:t>Ejecución de</w:t>
            </w:r>
            <w:r w:rsidRPr="00160081" w:rsidDel="00AF3C1F">
              <w:rPr>
                <w:rFonts w:cstheme="minorHAnsi"/>
                <w:sz w:val="20"/>
                <w:szCs w:val="20"/>
              </w:rPr>
              <w:t xml:space="preserve"> </w:t>
            </w:r>
            <w:r w:rsidRPr="00160081">
              <w:rPr>
                <w:rFonts w:cstheme="minorHAnsi"/>
                <w:sz w:val="20"/>
                <w:szCs w:val="20"/>
              </w:rPr>
              <w:t>la transferencia de conocimientos especializados</w:t>
            </w:r>
          </w:p>
        </w:tc>
        <w:tc>
          <w:tcPr>
            <w:tcW w:w="6272" w:type="dxa"/>
            <w:vAlign w:val="center"/>
          </w:tcPr>
          <w:p w14:paraId="1672E664" w14:textId="77777777" w:rsidR="00CA02A6" w:rsidRPr="00160081" w:rsidRDefault="00CA02A6" w:rsidP="00CA02A6">
            <w:pPr>
              <w:jc w:val="both"/>
              <w:rPr>
                <w:rFonts w:cstheme="minorHAnsi"/>
                <w:sz w:val="20"/>
                <w:szCs w:val="20"/>
              </w:rPr>
            </w:pPr>
            <w:r w:rsidRPr="00160081">
              <w:rPr>
                <w:rFonts w:cstheme="minorHAnsi"/>
                <w:sz w:val="20"/>
                <w:szCs w:val="20"/>
              </w:rPr>
              <w:t>El contratista deberá ejecutar el plan</w:t>
            </w:r>
            <w:r w:rsidRPr="00160081" w:rsidDel="00C17223">
              <w:rPr>
                <w:rFonts w:cstheme="minorHAnsi"/>
                <w:sz w:val="20"/>
                <w:szCs w:val="20"/>
              </w:rPr>
              <w:t xml:space="preserve"> de Transferencia de Conocimiento</w:t>
            </w:r>
            <w:r w:rsidRPr="00160081">
              <w:rPr>
                <w:rFonts w:cstheme="minorHAnsi"/>
                <w:sz w:val="20"/>
                <w:szCs w:val="20"/>
              </w:rPr>
              <w:t>s Especializados dentro de los plazos establecidos y</w:t>
            </w:r>
            <w:r w:rsidRPr="00160081" w:rsidDel="00C17223">
              <w:rPr>
                <w:rFonts w:cstheme="minorHAnsi"/>
                <w:sz w:val="20"/>
                <w:szCs w:val="20"/>
              </w:rPr>
              <w:t xml:space="preserve"> </w:t>
            </w:r>
            <w:r w:rsidRPr="00160081">
              <w:rPr>
                <w:rFonts w:cstheme="minorHAnsi"/>
                <w:sz w:val="20"/>
                <w:szCs w:val="20"/>
              </w:rPr>
              <w:t>que deberá</w:t>
            </w:r>
            <w:r w:rsidRPr="00160081" w:rsidDel="00C17223">
              <w:rPr>
                <w:rFonts w:cstheme="minorHAnsi"/>
                <w:sz w:val="20"/>
                <w:szCs w:val="20"/>
              </w:rPr>
              <w:t xml:space="preserve"> cumplir con lo especificado en la sección </w:t>
            </w:r>
            <w:r w:rsidRPr="00160081">
              <w:rPr>
                <w:rFonts w:cstheme="minorHAnsi"/>
                <w:sz w:val="20"/>
                <w:szCs w:val="20"/>
              </w:rPr>
              <w:t>9.3.1 Transferencia</w:t>
            </w:r>
            <w:r w:rsidRPr="00160081" w:rsidDel="00C17223">
              <w:rPr>
                <w:rFonts w:cstheme="minorHAnsi"/>
                <w:sz w:val="20"/>
                <w:szCs w:val="20"/>
              </w:rPr>
              <w:t xml:space="preserve"> de Conocimiento</w:t>
            </w:r>
            <w:r w:rsidRPr="00160081">
              <w:rPr>
                <w:rFonts w:cstheme="minorHAnsi"/>
                <w:sz w:val="20"/>
                <w:szCs w:val="20"/>
              </w:rPr>
              <w:t xml:space="preserve">s Especializados. </w:t>
            </w:r>
          </w:p>
          <w:p w14:paraId="50FD4765" w14:textId="77777777" w:rsidR="00CA02A6" w:rsidRPr="00160081" w:rsidRDefault="00CA02A6" w:rsidP="00CA02A6">
            <w:pPr>
              <w:jc w:val="both"/>
              <w:rPr>
                <w:rFonts w:cstheme="minorHAnsi"/>
                <w:color w:val="000000"/>
                <w:sz w:val="20"/>
                <w:szCs w:val="20"/>
                <w:lang w:eastAsia="es-EC"/>
              </w:rPr>
            </w:pPr>
            <w:r w:rsidRPr="00160081">
              <w:rPr>
                <w:rFonts w:cstheme="minorHAnsi"/>
                <w:sz w:val="20"/>
                <w:szCs w:val="20"/>
              </w:rPr>
              <w:t>En caso de que en la ejecución de la transferencia de conocimientos requiera modificación de condiciones, estas podrán ser cambiadas previo acuerdo entre las partes.</w:t>
            </w:r>
          </w:p>
        </w:tc>
      </w:tr>
      <w:tr w:rsidR="00CA02A6" w:rsidRPr="00160081" w14:paraId="252B9C23" w14:textId="77777777" w:rsidTr="00BD3D91">
        <w:trPr>
          <w:trHeight w:val="437"/>
          <w:jc w:val="center"/>
        </w:trPr>
        <w:tc>
          <w:tcPr>
            <w:tcW w:w="505" w:type="dxa"/>
            <w:vAlign w:val="center"/>
          </w:tcPr>
          <w:p w14:paraId="29321B9F" w14:textId="28264B87" w:rsidR="00CA02A6" w:rsidRPr="00160081" w:rsidRDefault="00CA02A6" w:rsidP="00CA02A6">
            <w:pPr>
              <w:jc w:val="center"/>
              <w:rPr>
                <w:rFonts w:cstheme="minorHAnsi"/>
                <w:sz w:val="20"/>
                <w:szCs w:val="20"/>
              </w:rPr>
            </w:pPr>
            <w:r w:rsidRPr="00160081">
              <w:rPr>
                <w:rFonts w:cstheme="minorHAnsi"/>
                <w:sz w:val="20"/>
                <w:szCs w:val="20"/>
              </w:rPr>
              <w:t>25</w:t>
            </w:r>
          </w:p>
        </w:tc>
        <w:tc>
          <w:tcPr>
            <w:tcW w:w="549" w:type="dxa"/>
            <w:vAlign w:val="center"/>
          </w:tcPr>
          <w:p w14:paraId="025A7A95" w14:textId="77777777" w:rsidR="00CA02A6" w:rsidRPr="00160081" w:rsidRDefault="00CA02A6" w:rsidP="00CA02A6">
            <w:pPr>
              <w:jc w:val="center"/>
              <w:rPr>
                <w:rFonts w:cstheme="minorHAnsi"/>
                <w:sz w:val="20"/>
                <w:szCs w:val="20"/>
              </w:rPr>
            </w:pPr>
            <w:r w:rsidRPr="00160081">
              <w:rPr>
                <w:rFonts w:cstheme="minorHAnsi"/>
                <w:sz w:val="20"/>
                <w:szCs w:val="20"/>
              </w:rPr>
              <w:t>Fase 4</w:t>
            </w:r>
          </w:p>
        </w:tc>
        <w:tc>
          <w:tcPr>
            <w:tcW w:w="2024" w:type="dxa"/>
            <w:vAlign w:val="center"/>
          </w:tcPr>
          <w:p w14:paraId="641D551B" w14:textId="77777777" w:rsidR="00CA02A6" w:rsidRPr="00160081" w:rsidRDefault="00CA02A6" w:rsidP="00CA02A6">
            <w:pPr>
              <w:jc w:val="center"/>
              <w:rPr>
                <w:rFonts w:cstheme="minorHAnsi"/>
                <w:sz w:val="20"/>
                <w:szCs w:val="20"/>
              </w:rPr>
            </w:pPr>
            <w:r w:rsidRPr="00160081">
              <w:rPr>
                <w:rFonts w:cstheme="minorHAnsi"/>
                <w:sz w:val="20"/>
                <w:szCs w:val="20"/>
              </w:rPr>
              <w:t>Servicio de soporte</w:t>
            </w:r>
          </w:p>
        </w:tc>
        <w:tc>
          <w:tcPr>
            <w:tcW w:w="6272" w:type="dxa"/>
            <w:vAlign w:val="center"/>
          </w:tcPr>
          <w:p w14:paraId="5456E8BE" w14:textId="77777777" w:rsidR="00CA02A6" w:rsidRPr="00160081" w:rsidRDefault="00CA02A6" w:rsidP="00CA02A6">
            <w:pPr>
              <w:jc w:val="both"/>
              <w:rPr>
                <w:rFonts w:cstheme="minorHAnsi"/>
                <w:sz w:val="20"/>
                <w:szCs w:val="20"/>
              </w:rPr>
            </w:pPr>
            <w:r w:rsidRPr="00160081">
              <w:rPr>
                <w:rFonts w:cstheme="minorHAnsi"/>
                <w:sz w:val="20"/>
                <w:szCs w:val="20"/>
              </w:rPr>
              <w:t xml:space="preserve">El contratista presentará el detalle del modelo de servicio ofertado que incluya el soporte de la solución integral tecnológica, cumpliendo con actividades programadas, periodicidades, ventanas de mantenimiento propuestas, responsables, métodos de verificación y evidencia generada en cada intervención, considerando lo detallado en el </w:t>
            </w:r>
            <w:r w:rsidRPr="00160081">
              <w:rPr>
                <w:rFonts w:cstheme="minorHAnsi"/>
                <w:b/>
                <w:bCs/>
                <w:sz w:val="20"/>
                <w:szCs w:val="20"/>
              </w:rPr>
              <w:t>numeral 8</w:t>
            </w:r>
            <w:r w:rsidRPr="00160081">
              <w:rPr>
                <w:rFonts w:cstheme="minorHAnsi"/>
                <w:sz w:val="20"/>
                <w:szCs w:val="20"/>
              </w:rPr>
              <w:t xml:space="preserve"> Soporte y mantenimiento.</w:t>
            </w:r>
          </w:p>
        </w:tc>
      </w:tr>
      <w:tr w:rsidR="00CA02A6" w:rsidRPr="00160081" w14:paraId="005A110D" w14:textId="77777777" w:rsidTr="00BD3D91">
        <w:trPr>
          <w:trHeight w:val="437"/>
          <w:jc w:val="center"/>
        </w:trPr>
        <w:tc>
          <w:tcPr>
            <w:tcW w:w="505" w:type="dxa"/>
            <w:vAlign w:val="center"/>
          </w:tcPr>
          <w:p w14:paraId="1511BFC3" w14:textId="1EC3407A" w:rsidR="00CA02A6" w:rsidRPr="00160081" w:rsidRDefault="00CA02A6" w:rsidP="00CA02A6">
            <w:pPr>
              <w:jc w:val="center"/>
              <w:rPr>
                <w:rFonts w:cstheme="minorHAnsi"/>
                <w:sz w:val="20"/>
                <w:szCs w:val="20"/>
              </w:rPr>
            </w:pPr>
            <w:r w:rsidRPr="00160081">
              <w:rPr>
                <w:rFonts w:cstheme="minorHAnsi"/>
                <w:sz w:val="20"/>
                <w:szCs w:val="20"/>
              </w:rPr>
              <w:t>26</w:t>
            </w:r>
          </w:p>
        </w:tc>
        <w:tc>
          <w:tcPr>
            <w:tcW w:w="549" w:type="dxa"/>
            <w:vAlign w:val="center"/>
          </w:tcPr>
          <w:p w14:paraId="64F65588" w14:textId="77777777" w:rsidR="00CA02A6" w:rsidRPr="00160081" w:rsidRDefault="00CA02A6" w:rsidP="00CA02A6">
            <w:pPr>
              <w:jc w:val="center"/>
              <w:rPr>
                <w:rFonts w:cstheme="minorHAnsi"/>
                <w:sz w:val="20"/>
                <w:szCs w:val="20"/>
              </w:rPr>
            </w:pPr>
            <w:bookmarkStart w:id="42" w:name="OLE_LINK1"/>
            <w:r w:rsidRPr="00160081">
              <w:rPr>
                <w:rFonts w:cstheme="minorHAnsi"/>
                <w:sz w:val="20"/>
                <w:szCs w:val="20"/>
              </w:rPr>
              <w:t xml:space="preserve">Fase </w:t>
            </w:r>
            <w:bookmarkEnd w:id="42"/>
            <w:r w:rsidRPr="00160081">
              <w:rPr>
                <w:rFonts w:cstheme="minorHAnsi"/>
                <w:sz w:val="20"/>
                <w:szCs w:val="20"/>
              </w:rPr>
              <w:t>5</w:t>
            </w:r>
          </w:p>
        </w:tc>
        <w:tc>
          <w:tcPr>
            <w:tcW w:w="2024" w:type="dxa"/>
            <w:vAlign w:val="center"/>
          </w:tcPr>
          <w:p w14:paraId="593C3D5D" w14:textId="77777777" w:rsidR="00CA02A6" w:rsidRPr="00160081" w:rsidRDefault="00CA02A6" w:rsidP="00CA02A6">
            <w:pPr>
              <w:jc w:val="center"/>
              <w:rPr>
                <w:rFonts w:cstheme="minorHAnsi"/>
                <w:sz w:val="20"/>
                <w:szCs w:val="20"/>
              </w:rPr>
            </w:pPr>
            <w:bookmarkStart w:id="43" w:name="_Hlk187765731"/>
            <w:r w:rsidRPr="00160081">
              <w:rPr>
                <w:rFonts w:cstheme="minorHAnsi"/>
                <w:sz w:val="20"/>
                <w:szCs w:val="20"/>
              </w:rPr>
              <w:t>Plan de implementación para el desarrollo de casos de uso</w:t>
            </w:r>
            <w:bookmarkEnd w:id="43"/>
          </w:p>
        </w:tc>
        <w:tc>
          <w:tcPr>
            <w:tcW w:w="6272" w:type="dxa"/>
            <w:vAlign w:val="center"/>
          </w:tcPr>
          <w:p w14:paraId="770AF565" w14:textId="77777777" w:rsidR="00CA02A6" w:rsidRPr="00160081" w:rsidRDefault="00CA02A6" w:rsidP="00CA02A6">
            <w:pPr>
              <w:jc w:val="both"/>
              <w:rPr>
                <w:rFonts w:cstheme="minorHAnsi"/>
                <w:color w:val="000000"/>
                <w:sz w:val="20"/>
                <w:szCs w:val="20"/>
                <w:lang w:eastAsia="es-EC"/>
              </w:rPr>
            </w:pPr>
            <w:r w:rsidRPr="00160081">
              <w:rPr>
                <w:rFonts w:cstheme="minorHAnsi"/>
                <w:color w:val="000000"/>
                <w:sz w:val="20"/>
                <w:szCs w:val="20"/>
                <w:lang w:eastAsia="es-EC"/>
              </w:rPr>
              <w:t>El contratista deberá:</w:t>
            </w:r>
          </w:p>
          <w:p w14:paraId="7A751102"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Definir los ambientes productivos, no productivos y de contingencia requeridos para la eficiente implementación de la solución tecnológica. </w:t>
            </w:r>
          </w:p>
          <w:p w14:paraId="781A7A86"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Detallar el plan de implementación de casos de uso que deberá cumplir con lo especificado en la sección “6.4.1 Implementacionesde casos de uso”</w:t>
            </w:r>
          </w:p>
          <w:p w14:paraId="2ADB702D"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bookmarkStart w:id="44" w:name="_Hlk187765592"/>
            <w:r w:rsidRPr="00160081">
              <w:rPr>
                <w:rFonts w:cstheme="minorHAnsi"/>
                <w:color w:val="000000"/>
                <w:sz w:val="20"/>
                <w:szCs w:val="20"/>
                <w:lang w:eastAsia="es-EC"/>
              </w:rPr>
              <w:t>Durante la ejecución del contrato, y en coordinación con la contraparte técnica del SRI asignada se definirán:</w:t>
            </w:r>
          </w:p>
          <w:p w14:paraId="3F6B2DD0" w14:textId="77777777" w:rsidR="00CA02A6" w:rsidRPr="00160081" w:rsidRDefault="00CA02A6" w:rsidP="00CA02A6">
            <w:pPr>
              <w:tabs>
                <w:tab w:val="left" w:pos="0"/>
              </w:tabs>
              <w:ind w:left="720"/>
              <w:jc w:val="both"/>
              <w:rPr>
                <w:rFonts w:cstheme="minorHAnsi"/>
                <w:color w:val="000000"/>
                <w:sz w:val="20"/>
                <w:szCs w:val="20"/>
                <w:lang w:eastAsia="es-EC"/>
              </w:rPr>
            </w:pPr>
            <w:r w:rsidRPr="00160081">
              <w:rPr>
                <w:rFonts w:cstheme="minorHAnsi"/>
                <w:color w:val="000000"/>
                <w:sz w:val="20"/>
                <w:szCs w:val="20"/>
                <w:lang w:eastAsia="es-EC"/>
              </w:rPr>
              <w:t>- Criterios de aceptación de las capacidades implementadas, así como el modelo realizado por parte de la unidad requirente y el administrador del contrato, por cada caso de uso a implementar</w:t>
            </w:r>
          </w:p>
          <w:p w14:paraId="0DC958A3" w14:textId="77777777" w:rsidR="00CA02A6" w:rsidRPr="00160081" w:rsidRDefault="00CA02A6" w:rsidP="00CA02A6">
            <w:pPr>
              <w:tabs>
                <w:tab w:val="left" w:pos="0"/>
              </w:tabs>
              <w:ind w:left="720"/>
              <w:jc w:val="both"/>
              <w:rPr>
                <w:rFonts w:cstheme="minorHAnsi"/>
                <w:color w:val="000000"/>
                <w:sz w:val="20"/>
                <w:szCs w:val="20"/>
                <w:lang w:eastAsia="es-EC"/>
              </w:rPr>
            </w:pPr>
            <w:r w:rsidRPr="00160081">
              <w:rPr>
                <w:rFonts w:cstheme="minorHAnsi"/>
                <w:color w:val="000000"/>
                <w:sz w:val="20"/>
                <w:szCs w:val="20"/>
                <w:lang w:eastAsia="es-EC"/>
              </w:rPr>
              <w:t>- Arquitectura y diseño de servicio, por cada caso de uso a implementar.</w:t>
            </w:r>
            <w:bookmarkEnd w:id="44"/>
          </w:p>
        </w:tc>
      </w:tr>
      <w:tr w:rsidR="00CA02A6" w:rsidRPr="00160081" w14:paraId="6B9D6ACD" w14:textId="77777777" w:rsidTr="00BD3D91">
        <w:trPr>
          <w:trHeight w:val="437"/>
          <w:jc w:val="center"/>
        </w:trPr>
        <w:tc>
          <w:tcPr>
            <w:tcW w:w="505" w:type="dxa"/>
            <w:vAlign w:val="center"/>
          </w:tcPr>
          <w:p w14:paraId="1A4CDD2B" w14:textId="1C7DEFCF" w:rsidR="00CA02A6" w:rsidRPr="00160081" w:rsidRDefault="00CA02A6" w:rsidP="00CA02A6">
            <w:pPr>
              <w:jc w:val="center"/>
              <w:rPr>
                <w:rFonts w:cstheme="minorHAnsi"/>
                <w:sz w:val="20"/>
                <w:szCs w:val="20"/>
              </w:rPr>
            </w:pPr>
            <w:r w:rsidRPr="00160081">
              <w:rPr>
                <w:rFonts w:cstheme="minorHAnsi"/>
                <w:sz w:val="20"/>
                <w:szCs w:val="20"/>
              </w:rPr>
              <w:t>27</w:t>
            </w:r>
          </w:p>
        </w:tc>
        <w:tc>
          <w:tcPr>
            <w:tcW w:w="549" w:type="dxa"/>
            <w:vAlign w:val="center"/>
          </w:tcPr>
          <w:p w14:paraId="11CD6C01" w14:textId="77777777" w:rsidR="00CA02A6" w:rsidRPr="00160081" w:rsidRDefault="00CA02A6" w:rsidP="00CA02A6">
            <w:pPr>
              <w:jc w:val="center"/>
              <w:rPr>
                <w:rFonts w:cstheme="minorHAnsi"/>
                <w:sz w:val="20"/>
                <w:szCs w:val="20"/>
              </w:rPr>
            </w:pPr>
            <w:r w:rsidRPr="00160081">
              <w:rPr>
                <w:rFonts w:cstheme="minorHAnsi"/>
                <w:sz w:val="20"/>
                <w:szCs w:val="20"/>
              </w:rPr>
              <w:t>Fase 5</w:t>
            </w:r>
          </w:p>
        </w:tc>
        <w:tc>
          <w:tcPr>
            <w:tcW w:w="2024" w:type="dxa"/>
            <w:vAlign w:val="center"/>
          </w:tcPr>
          <w:p w14:paraId="10B518BF" w14:textId="77777777" w:rsidR="00CA02A6" w:rsidRPr="00160081" w:rsidRDefault="00CA02A6" w:rsidP="00CA02A6">
            <w:pPr>
              <w:jc w:val="center"/>
              <w:rPr>
                <w:rFonts w:cstheme="minorHAnsi"/>
                <w:sz w:val="20"/>
                <w:szCs w:val="20"/>
              </w:rPr>
            </w:pPr>
            <w:r w:rsidRPr="00160081">
              <w:rPr>
                <w:rFonts w:cstheme="minorHAnsi"/>
                <w:sz w:val="20"/>
                <w:szCs w:val="20"/>
              </w:rPr>
              <w:t>Plan de Implementación: Pruebas de acceso</w:t>
            </w:r>
          </w:p>
        </w:tc>
        <w:tc>
          <w:tcPr>
            <w:tcW w:w="6272" w:type="dxa"/>
            <w:vAlign w:val="center"/>
          </w:tcPr>
          <w:p w14:paraId="0E830DC5" w14:textId="77777777" w:rsidR="00CA02A6" w:rsidRPr="00160081" w:rsidRDefault="00CA02A6" w:rsidP="00CA02A6">
            <w:pPr>
              <w:tabs>
                <w:tab w:val="left" w:pos="0"/>
              </w:tabs>
              <w:jc w:val="both"/>
              <w:rPr>
                <w:rFonts w:cstheme="minorHAnsi"/>
                <w:color w:val="000000"/>
                <w:sz w:val="20"/>
                <w:szCs w:val="20"/>
                <w:lang w:eastAsia="es-EC"/>
              </w:rPr>
            </w:pPr>
            <w:r w:rsidRPr="00160081">
              <w:rPr>
                <w:rFonts w:cstheme="minorHAnsi"/>
                <w:color w:val="000000"/>
                <w:sz w:val="20"/>
                <w:szCs w:val="20"/>
                <w:lang w:eastAsia="es-EC"/>
              </w:rPr>
              <w:t>El contratista deberá considerar al menos:</w:t>
            </w:r>
          </w:p>
          <w:p w14:paraId="54B3F4F2"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sz w:val="20"/>
                <w:szCs w:val="20"/>
              </w:rPr>
              <w:t xml:space="preserve">La </w:t>
            </w:r>
            <w:r w:rsidRPr="00160081">
              <w:rPr>
                <w:rFonts w:cstheme="minorHAnsi"/>
                <w:color w:val="000000"/>
                <w:sz w:val="20"/>
                <w:szCs w:val="20"/>
                <w:lang w:eastAsia="es-EC"/>
              </w:rPr>
              <w:t xml:space="preserve">elaboración de la Guía de Aseguramiento de Calidad (SQA) en base a las especificaciones existentes del Proyecto u orden de trabajo </w:t>
            </w:r>
          </w:p>
          <w:p w14:paraId="16C8C4A9"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Plan de pruebas</w:t>
            </w:r>
          </w:p>
          <w:p w14:paraId="2F2D3DCB"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Pruebas funcionales de aceptación</w:t>
            </w:r>
          </w:p>
          <w:p w14:paraId="75A869A3"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Pruebas no funcionales</w:t>
            </w:r>
          </w:p>
          <w:p w14:paraId="58E98AB3"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Pruebas de integración </w:t>
            </w:r>
          </w:p>
          <w:p w14:paraId="127AD1DE" w14:textId="77777777" w:rsidR="00CA02A6" w:rsidRPr="00160081" w:rsidRDefault="00CA02A6" w:rsidP="00CA02A6">
            <w:pPr>
              <w:numPr>
                <w:ilvl w:val="0"/>
                <w:numId w:val="102"/>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Pruebas de carga y performance </w:t>
            </w:r>
          </w:p>
          <w:p w14:paraId="0CD1E727" w14:textId="77777777" w:rsidR="00CA02A6" w:rsidRPr="00160081" w:rsidRDefault="00CA02A6" w:rsidP="00CA02A6">
            <w:pPr>
              <w:tabs>
                <w:tab w:val="left" w:pos="0"/>
              </w:tabs>
              <w:jc w:val="both"/>
              <w:rPr>
                <w:rFonts w:cstheme="minorHAnsi"/>
                <w:color w:val="000000"/>
                <w:sz w:val="20"/>
                <w:szCs w:val="20"/>
                <w:lang w:eastAsia="es-EC"/>
              </w:rPr>
            </w:pPr>
            <w:r w:rsidRPr="00160081">
              <w:rPr>
                <w:rFonts w:cstheme="minorHAnsi"/>
                <w:color w:val="000000"/>
                <w:sz w:val="20"/>
                <w:szCs w:val="20"/>
                <w:lang w:eastAsia="es-EC"/>
              </w:rPr>
              <w:t>Con el objetivo de garantizar que la solución tecnológica contratada cumpla los criterios de aceptación acordados, no genere vulnerabilidades de seguridad o afectación a otros sistemas con motivo de los cambios implementados, además  tenga tiempos de respuesta aceptables al momento de su uso por parte de los funcionarios de la entidad contratante en cada una de las entregas parciales de órdenes de trabajo, estas pruebas serán evidenciadas en un informe que tendrá que entregar el contratista para su aprobación por el administrador del contrato, considerando lo descrito en la sección 6.3 Requerimientos técnicos y no funcionales. El contratista entregará el plan de pruebas por cada caso de uso, el cual será revisado por el administrador de contrato.</w:t>
            </w:r>
          </w:p>
        </w:tc>
      </w:tr>
      <w:tr w:rsidR="00CA02A6" w:rsidRPr="00160081" w14:paraId="1F9183FC" w14:textId="77777777" w:rsidTr="00BD3D91">
        <w:trPr>
          <w:trHeight w:val="58"/>
          <w:jc w:val="center"/>
        </w:trPr>
        <w:tc>
          <w:tcPr>
            <w:tcW w:w="505" w:type="dxa"/>
            <w:vAlign w:val="center"/>
          </w:tcPr>
          <w:p w14:paraId="11173E0D" w14:textId="23A5FB40" w:rsidR="00CA02A6" w:rsidRPr="00160081" w:rsidRDefault="00CA02A6" w:rsidP="00CA02A6">
            <w:pPr>
              <w:jc w:val="center"/>
              <w:rPr>
                <w:rFonts w:cstheme="minorHAnsi"/>
                <w:sz w:val="20"/>
                <w:szCs w:val="20"/>
              </w:rPr>
            </w:pPr>
            <w:r w:rsidRPr="00160081">
              <w:rPr>
                <w:rFonts w:cstheme="minorHAnsi"/>
                <w:sz w:val="20"/>
                <w:szCs w:val="20"/>
              </w:rPr>
              <w:t>28</w:t>
            </w:r>
          </w:p>
        </w:tc>
        <w:tc>
          <w:tcPr>
            <w:tcW w:w="549" w:type="dxa"/>
            <w:tcBorders>
              <w:top w:val="single" w:sz="4" w:space="0" w:color="auto"/>
              <w:left w:val="single" w:sz="4" w:space="0" w:color="auto"/>
              <w:bottom w:val="single" w:sz="4" w:space="0" w:color="auto"/>
              <w:right w:val="single" w:sz="4" w:space="0" w:color="auto"/>
            </w:tcBorders>
            <w:vAlign w:val="center"/>
          </w:tcPr>
          <w:p w14:paraId="43B42AB3" w14:textId="77777777" w:rsidR="00CA02A6" w:rsidRPr="00160081" w:rsidRDefault="00CA02A6" w:rsidP="00CA02A6">
            <w:pPr>
              <w:jc w:val="center"/>
              <w:rPr>
                <w:rFonts w:cstheme="minorHAnsi"/>
                <w:sz w:val="20"/>
                <w:szCs w:val="20"/>
              </w:rPr>
            </w:pPr>
            <w:r w:rsidRPr="00160081">
              <w:rPr>
                <w:rFonts w:cstheme="minorHAnsi"/>
                <w:sz w:val="20"/>
                <w:szCs w:val="20"/>
              </w:rPr>
              <w:t>Fase 6</w:t>
            </w:r>
          </w:p>
        </w:tc>
        <w:tc>
          <w:tcPr>
            <w:tcW w:w="2024" w:type="dxa"/>
            <w:tcBorders>
              <w:top w:val="single" w:sz="4" w:space="0" w:color="auto"/>
              <w:left w:val="single" w:sz="4" w:space="0" w:color="auto"/>
              <w:bottom w:val="single" w:sz="4" w:space="0" w:color="auto"/>
              <w:right w:val="single" w:sz="4" w:space="0" w:color="auto"/>
            </w:tcBorders>
            <w:vAlign w:val="center"/>
          </w:tcPr>
          <w:p w14:paraId="71D6F4C8" w14:textId="77777777" w:rsidR="00CA02A6" w:rsidRPr="00160081" w:rsidRDefault="00CA02A6" w:rsidP="00CA02A6">
            <w:pPr>
              <w:jc w:val="center"/>
              <w:rPr>
                <w:rFonts w:cstheme="minorHAnsi"/>
                <w:sz w:val="20"/>
                <w:szCs w:val="20"/>
              </w:rPr>
            </w:pPr>
            <w:r w:rsidRPr="00160081">
              <w:rPr>
                <w:rFonts w:cstheme="minorHAnsi"/>
                <w:sz w:val="20"/>
                <w:szCs w:val="20"/>
              </w:rPr>
              <w:t>Órdenes de Trabajo: Reuniones de análisis</w:t>
            </w:r>
          </w:p>
        </w:tc>
        <w:tc>
          <w:tcPr>
            <w:tcW w:w="6272" w:type="dxa"/>
            <w:tcBorders>
              <w:top w:val="single" w:sz="4" w:space="0" w:color="auto"/>
              <w:left w:val="single" w:sz="4" w:space="0" w:color="auto"/>
              <w:bottom w:val="single" w:sz="4" w:space="0" w:color="auto"/>
              <w:right w:val="single" w:sz="4" w:space="0" w:color="auto"/>
            </w:tcBorders>
            <w:vAlign w:val="center"/>
          </w:tcPr>
          <w:p w14:paraId="5E79A21A" w14:textId="77777777" w:rsidR="00CA02A6" w:rsidRPr="00160081" w:rsidRDefault="00CA02A6" w:rsidP="00CA02A6">
            <w:pPr>
              <w:jc w:val="both"/>
              <w:rPr>
                <w:rFonts w:cstheme="minorHAnsi"/>
                <w:sz w:val="20"/>
                <w:szCs w:val="20"/>
              </w:rPr>
            </w:pPr>
            <w:bookmarkStart w:id="45" w:name="OLE_LINK84"/>
            <w:r w:rsidRPr="00160081">
              <w:rPr>
                <w:rFonts w:cstheme="minorHAnsi"/>
                <w:sz w:val="20"/>
                <w:szCs w:val="20"/>
              </w:rPr>
              <w:t>Previo al inicio de la implementación de cualquier entrega parcial asociada a requerimientos funcionales, no funcionales o evolutivos de la suite tecnológica integral (BPMS, BRMS, ECM y SGRT), el contratista deberá participar obligatoriamente en reuniones de análisis conjunto con el SRI. Estas reuniones tendrán como objetivo clarificar, detallar y validar el alcance técnico y funcional de la entrega, considerando los componentes de la suite involucrados, los artefactos a intervenir, los ambientes afectados y los criterios de aceptación aplicables.</w:t>
            </w:r>
          </w:p>
          <w:p w14:paraId="7B4CAC9D" w14:textId="77777777" w:rsidR="00CA02A6" w:rsidRPr="00160081" w:rsidRDefault="00CA02A6" w:rsidP="00CA02A6">
            <w:pPr>
              <w:jc w:val="both"/>
              <w:rPr>
                <w:rFonts w:cstheme="minorHAnsi"/>
                <w:sz w:val="20"/>
                <w:szCs w:val="20"/>
              </w:rPr>
            </w:pPr>
          </w:p>
          <w:p w14:paraId="4786F5D3" w14:textId="77777777" w:rsidR="00CA02A6" w:rsidRPr="00160081" w:rsidRDefault="00CA02A6" w:rsidP="00CA02A6">
            <w:pPr>
              <w:jc w:val="both"/>
              <w:rPr>
                <w:rFonts w:cstheme="minorHAnsi"/>
                <w:sz w:val="20"/>
                <w:szCs w:val="20"/>
              </w:rPr>
            </w:pPr>
            <w:r w:rsidRPr="00160081">
              <w:rPr>
                <w:rFonts w:cstheme="minorHAnsi"/>
                <w:sz w:val="20"/>
                <w:szCs w:val="20"/>
              </w:rPr>
              <w:t>Como resultado de estas reuniones, el contratista deberá elaborar una Orden de Trabajo que documente de manera formal y verificable el alcance acordado, incluyendo la descripción del requerimiento, el impacto sobre los componentes de la suite, el esfuerzo estimado, el cronograma de ejecución, los entregables esperados, los ambientes involucrados y las evidencias de cumplimiento. Dicha Orden de Trabajo deberá ser revisada y aprobada formalmente por el administrador del contrato del SRI antes del inicio de su ejecución.</w:t>
            </w:r>
            <w:bookmarkEnd w:id="45"/>
          </w:p>
        </w:tc>
      </w:tr>
      <w:tr w:rsidR="00CA02A6" w:rsidRPr="00160081" w14:paraId="35CA1523" w14:textId="77777777" w:rsidTr="00BD3D91">
        <w:trPr>
          <w:trHeight w:val="437"/>
          <w:jc w:val="center"/>
        </w:trPr>
        <w:tc>
          <w:tcPr>
            <w:tcW w:w="505" w:type="dxa"/>
            <w:vAlign w:val="center"/>
          </w:tcPr>
          <w:p w14:paraId="2C811657" w14:textId="10DE23B7" w:rsidR="00CA02A6" w:rsidRPr="00160081" w:rsidRDefault="00CA02A6" w:rsidP="00CA02A6">
            <w:pPr>
              <w:jc w:val="center"/>
              <w:rPr>
                <w:rFonts w:cstheme="minorHAnsi"/>
                <w:sz w:val="20"/>
                <w:szCs w:val="20"/>
              </w:rPr>
            </w:pPr>
            <w:r w:rsidRPr="00160081">
              <w:rPr>
                <w:rFonts w:cstheme="minorHAnsi"/>
                <w:sz w:val="20"/>
                <w:szCs w:val="20"/>
              </w:rPr>
              <w:t>29</w:t>
            </w:r>
          </w:p>
        </w:tc>
        <w:tc>
          <w:tcPr>
            <w:tcW w:w="549" w:type="dxa"/>
            <w:tcBorders>
              <w:top w:val="single" w:sz="4" w:space="0" w:color="auto"/>
              <w:left w:val="single" w:sz="4" w:space="0" w:color="auto"/>
              <w:bottom w:val="single" w:sz="4" w:space="0" w:color="auto"/>
              <w:right w:val="single" w:sz="4" w:space="0" w:color="auto"/>
            </w:tcBorders>
            <w:vAlign w:val="center"/>
          </w:tcPr>
          <w:p w14:paraId="6F42DF7E" w14:textId="77777777" w:rsidR="00CA02A6" w:rsidRPr="00160081" w:rsidRDefault="00CA02A6" w:rsidP="00CA02A6">
            <w:pPr>
              <w:jc w:val="center"/>
              <w:rPr>
                <w:rFonts w:cstheme="minorHAnsi"/>
                <w:sz w:val="20"/>
                <w:szCs w:val="20"/>
              </w:rPr>
            </w:pPr>
            <w:r w:rsidRPr="00160081">
              <w:rPr>
                <w:rFonts w:cstheme="minorHAnsi"/>
                <w:sz w:val="20"/>
                <w:szCs w:val="20"/>
              </w:rPr>
              <w:t>Fase 6</w:t>
            </w:r>
          </w:p>
        </w:tc>
        <w:tc>
          <w:tcPr>
            <w:tcW w:w="2024" w:type="dxa"/>
            <w:tcBorders>
              <w:top w:val="single" w:sz="4" w:space="0" w:color="auto"/>
              <w:left w:val="single" w:sz="4" w:space="0" w:color="auto"/>
              <w:bottom w:val="single" w:sz="4" w:space="0" w:color="auto"/>
              <w:right w:val="single" w:sz="4" w:space="0" w:color="auto"/>
            </w:tcBorders>
            <w:vAlign w:val="center"/>
          </w:tcPr>
          <w:p w14:paraId="7384E772" w14:textId="77777777" w:rsidR="00CA02A6" w:rsidRPr="00160081" w:rsidRDefault="00CA02A6" w:rsidP="00CA02A6">
            <w:pPr>
              <w:jc w:val="center"/>
              <w:rPr>
                <w:rFonts w:cstheme="minorHAnsi"/>
                <w:sz w:val="20"/>
                <w:szCs w:val="20"/>
              </w:rPr>
            </w:pPr>
            <w:r w:rsidRPr="00160081">
              <w:rPr>
                <w:rFonts w:cstheme="minorHAnsi"/>
                <w:sz w:val="20"/>
                <w:szCs w:val="20"/>
              </w:rPr>
              <w:t>Órdenes de Trabajo</w:t>
            </w:r>
          </w:p>
        </w:tc>
        <w:tc>
          <w:tcPr>
            <w:tcW w:w="6272" w:type="dxa"/>
            <w:tcBorders>
              <w:top w:val="single" w:sz="4" w:space="0" w:color="auto"/>
              <w:left w:val="single" w:sz="4" w:space="0" w:color="auto"/>
              <w:bottom w:val="single" w:sz="4" w:space="0" w:color="auto"/>
              <w:right w:val="single" w:sz="4" w:space="0" w:color="auto"/>
            </w:tcBorders>
            <w:vAlign w:val="center"/>
          </w:tcPr>
          <w:p w14:paraId="4CAFF839" w14:textId="77777777" w:rsidR="00CA02A6" w:rsidRPr="00160081" w:rsidRDefault="00CA02A6" w:rsidP="00CA02A6">
            <w:pPr>
              <w:jc w:val="both"/>
              <w:rPr>
                <w:rFonts w:cstheme="minorHAnsi"/>
                <w:sz w:val="20"/>
                <w:szCs w:val="20"/>
              </w:rPr>
            </w:pPr>
            <w:bookmarkStart w:id="46" w:name="OLE_LINK85"/>
            <w:r w:rsidRPr="00160081">
              <w:rPr>
                <w:rFonts w:cstheme="minorHAnsi"/>
                <w:sz w:val="20"/>
                <w:szCs w:val="20"/>
              </w:rPr>
              <w:t>El plan de Órdenes de Trabajo deberá contemplar un esquema de entregas parciales, incrementales y controladas, tanto en ambientes no productivos, productivos y de contingencia, permitiendo la incorporación progresiva de funcionalidades, configuraciones, mejoras técnicas o ajustes derivados de los requerimientos del SRI. Cada entrega deberá cumplir con la gobernanza de versiones definida para BPMS, BRMS, ECM y SGRT, así como con los procedimientos formales de migración entre ambientes. Este plan deberá ser aprobado por el SRI.</w:t>
            </w:r>
          </w:p>
          <w:bookmarkEnd w:id="46"/>
          <w:p w14:paraId="49903B0B" w14:textId="77777777" w:rsidR="00CA02A6" w:rsidRPr="00160081" w:rsidRDefault="00CA02A6" w:rsidP="00CA02A6">
            <w:pPr>
              <w:jc w:val="both"/>
              <w:rPr>
                <w:rFonts w:cstheme="minorHAnsi"/>
                <w:sz w:val="20"/>
                <w:szCs w:val="20"/>
              </w:rPr>
            </w:pPr>
            <w:r w:rsidRPr="00160081">
              <w:rPr>
                <w:rFonts w:cstheme="minorHAnsi"/>
                <w:sz w:val="20"/>
                <w:szCs w:val="20"/>
              </w:rPr>
              <w:t xml:space="preserve">Cualquier ajuste, actualización o redefinición de los requerimientos descritos en el presente documento conforme lo descrito en la sección 8.3 Mantenimiento Correctivo, deberá realizarse de mutuo acuerdo entre el SRI y el contratista. En caso de que un requerimiento inicialmente previsto sea eliminado o requiera un menor esfuerzo que el estimado, dicho esfuerzo deberá ser compensado mediante la incorporación de nuevos requerimientos o actividades de valor equivalente (expresado en unidades de esfuerzo) para el SRI. </w:t>
            </w:r>
          </w:p>
          <w:p w14:paraId="5BF27890" w14:textId="77777777" w:rsidR="00CA02A6" w:rsidRPr="00160081" w:rsidRDefault="00CA02A6" w:rsidP="00CA02A6">
            <w:pPr>
              <w:jc w:val="both"/>
              <w:rPr>
                <w:rFonts w:cstheme="minorHAnsi"/>
                <w:sz w:val="20"/>
                <w:szCs w:val="20"/>
              </w:rPr>
            </w:pPr>
            <w:r w:rsidRPr="00160081">
              <w:rPr>
                <w:rFonts w:cstheme="minorHAnsi"/>
                <w:sz w:val="20"/>
                <w:szCs w:val="20"/>
              </w:rPr>
              <w:t>Cuando las órdenes de trabajo correspondan a mantenimientos evoluciones, nuevas configuraciones, ajustes funcionales o técnicos no contemplados en el alcance inicial del contrato, dichas actividades deberán ejecutarse conforme los descrito en la sección 8.4 Mantenimiento evolutivo</w:t>
            </w:r>
          </w:p>
          <w:p w14:paraId="52EBA948" w14:textId="77777777" w:rsidR="00CA02A6" w:rsidRPr="00160081" w:rsidRDefault="00CA02A6" w:rsidP="00CA02A6">
            <w:pPr>
              <w:jc w:val="both"/>
              <w:rPr>
                <w:rFonts w:cstheme="minorHAnsi"/>
                <w:sz w:val="20"/>
                <w:szCs w:val="20"/>
              </w:rPr>
            </w:pPr>
            <w:r w:rsidRPr="00160081">
              <w:rPr>
                <w:rFonts w:cstheme="minorHAnsi"/>
                <w:sz w:val="20"/>
                <w:szCs w:val="20"/>
              </w:rPr>
              <w:t>Los pagos asociados a las órdenes de trabajo ejecutadas bajo la modalidad de mantenimiento evolutivo se realizarán únicamente por las horas efectivamente utilizadas y validadas por el administrador del contrato, previa entrega por parte del contratista de un informe detallado de actividades ejecutadas, evidencias de cumplimiento, entregables comprometidos y planilla de consumo de horas correspondiente.</w:t>
            </w:r>
          </w:p>
        </w:tc>
      </w:tr>
      <w:bookmarkEnd w:id="29"/>
    </w:tbl>
    <w:p w14:paraId="2499A8FF" w14:textId="77777777" w:rsidR="00160081" w:rsidRPr="00160081" w:rsidRDefault="00160081" w:rsidP="00160081">
      <w:pPr>
        <w:ind w:left="720"/>
        <w:outlineLvl w:val="0"/>
        <w:rPr>
          <w:rFonts w:cstheme="minorHAnsi"/>
          <w:b/>
          <w:bCs/>
          <w:kern w:val="36"/>
          <w:sz w:val="20"/>
          <w:szCs w:val="20"/>
        </w:rPr>
      </w:pPr>
    </w:p>
    <w:p w14:paraId="35F50AD7" w14:textId="77777777" w:rsidR="00160081" w:rsidRPr="00160081" w:rsidRDefault="00160081" w:rsidP="00160081">
      <w:pPr>
        <w:ind w:left="720"/>
        <w:outlineLvl w:val="0"/>
        <w:rPr>
          <w:rFonts w:cstheme="minorHAnsi"/>
          <w:b/>
          <w:bCs/>
          <w:kern w:val="36"/>
          <w:sz w:val="20"/>
          <w:szCs w:val="20"/>
        </w:rPr>
      </w:pPr>
    </w:p>
    <w:p w14:paraId="14ADA988" w14:textId="5DE523CB"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47" w:name="OLE_LINK69"/>
      <w:r w:rsidRPr="00160081">
        <w:rPr>
          <w:rFonts w:asciiTheme="minorHAnsi" w:eastAsia="Times New Roman" w:hAnsiTheme="minorHAnsi" w:cstheme="minorHAnsi"/>
          <w:b/>
          <w:bCs/>
          <w:color w:val="000000" w:themeColor="text1"/>
          <w:sz w:val="20"/>
          <w:szCs w:val="20"/>
        </w:rPr>
        <w:t>5.</w:t>
      </w:r>
      <w:r w:rsidR="00CA02A6">
        <w:rPr>
          <w:rFonts w:asciiTheme="minorHAnsi" w:eastAsia="Times New Roman" w:hAnsiTheme="minorHAnsi" w:cstheme="minorHAnsi"/>
          <w:b/>
          <w:bCs/>
          <w:color w:val="000000" w:themeColor="text1"/>
          <w:sz w:val="20"/>
          <w:szCs w:val="20"/>
        </w:rPr>
        <w:t>3</w:t>
      </w:r>
      <w:r w:rsidRPr="00160081">
        <w:rPr>
          <w:rFonts w:asciiTheme="minorHAnsi" w:eastAsia="Times New Roman" w:hAnsiTheme="minorHAnsi" w:cstheme="minorHAnsi"/>
          <w:b/>
          <w:bCs/>
          <w:color w:val="000000" w:themeColor="text1"/>
          <w:sz w:val="20"/>
          <w:szCs w:val="20"/>
        </w:rPr>
        <w:t xml:space="preserve"> Personal técnico mínimo</w:t>
      </w:r>
    </w:p>
    <w:bookmarkEnd w:id="47"/>
    <w:p w14:paraId="654D8E8F" w14:textId="77777777" w:rsidR="00160081" w:rsidRPr="00160081" w:rsidRDefault="00160081" w:rsidP="00160081">
      <w:pPr>
        <w:ind w:left="720"/>
        <w:rPr>
          <w:rFonts w:cstheme="minorHAnsi"/>
          <w:sz w:val="20"/>
          <w:szCs w:val="20"/>
        </w:rPr>
      </w:pPr>
    </w:p>
    <w:p w14:paraId="6B630114" w14:textId="77777777" w:rsidR="00160081" w:rsidRPr="00160081" w:rsidRDefault="00160081" w:rsidP="00160081">
      <w:pPr>
        <w:ind w:left="720"/>
        <w:jc w:val="both"/>
        <w:rPr>
          <w:rFonts w:cstheme="minorHAnsi"/>
          <w:sz w:val="20"/>
          <w:szCs w:val="20"/>
        </w:rPr>
      </w:pPr>
      <w:r w:rsidRPr="00160081">
        <w:rPr>
          <w:rFonts w:cstheme="minorHAnsi"/>
          <w:sz w:val="20"/>
          <w:szCs w:val="20"/>
        </w:rPr>
        <w:t>Para la correcta ejecución del objeto del contrato, el contratista deberá conformar y mantener durante toda la vigencia contractual un equipo de trabajo mínimo, con perfiles técnicos y funcionales suficientes para garantizar la adecuada implementación, operación inicial, soporte y evolución de la suite tecnológica integral, conforme a lo siguiente:</w:t>
      </w:r>
    </w:p>
    <w:p w14:paraId="7375A50D" w14:textId="77777777" w:rsidR="00160081" w:rsidRPr="00160081" w:rsidRDefault="00160081" w:rsidP="00160081">
      <w:pPr>
        <w:pStyle w:val="Prrafodelista"/>
        <w:numPr>
          <w:ilvl w:val="0"/>
          <w:numId w:val="98"/>
        </w:numPr>
        <w:spacing w:after="0" w:line="240" w:lineRule="auto"/>
        <w:ind w:left="1440"/>
        <w:jc w:val="both"/>
        <w:rPr>
          <w:rFonts w:cstheme="minorHAnsi"/>
          <w:sz w:val="20"/>
          <w:szCs w:val="20"/>
        </w:rPr>
      </w:pPr>
      <w:r w:rsidRPr="00160081">
        <w:rPr>
          <w:rFonts w:cstheme="minorHAnsi"/>
          <w:sz w:val="20"/>
          <w:szCs w:val="20"/>
        </w:rPr>
        <w:t xml:space="preserve">El equipo mínimo requerido tiene como finalidad asegurar la cobertura funcional y técnica esencial de cada uno de los componentes principales de la solución, así como la adecuada coordinación del proyecto y la alineación con los requerimientos institucionales del SRI. </w:t>
      </w:r>
    </w:p>
    <w:p w14:paraId="41BA4F4D" w14:textId="77777777" w:rsidR="00160081" w:rsidRPr="00160081" w:rsidRDefault="00160081" w:rsidP="00160081">
      <w:pPr>
        <w:pStyle w:val="Prrafodelista"/>
        <w:numPr>
          <w:ilvl w:val="0"/>
          <w:numId w:val="98"/>
        </w:numPr>
        <w:spacing w:after="0" w:line="240" w:lineRule="auto"/>
        <w:ind w:left="1440"/>
        <w:jc w:val="both"/>
        <w:rPr>
          <w:rFonts w:cstheme="minorHAnsi"/>
          <w:sz w:val="20"/>
          <w:szCs w:val="20"/>
        </w:rPr>
      </w:pPr>
      <w:r w:rsidRPr="00160081">
        <w:rPr>
          <w:rFonts w:cstheme="minorHAnsi"/>
          <w:sz w:val="20"/>
          <w:szCs w:val="20"/>
        </w:rPr>
        <w:t>En este sentido, se establece como condición mínima la asignación de especialistas funcionales dedicados para cada componente de la suite (BPMS, BRMS, ECM y SGRT), así como los roles de gestión y arquitectura necesarios para garantizar la coherencia técnica y el cumplimiento del plan de trabajo.</w:t>
      </w:r>
    </w:p>
    <w:p w14:paraId="286F4818" w14:textId="77777777" w:rsidR="00160081" w:rsidRPr="00160081" w:rsidRDefault="00160081" w:rsidP="00160081">
      <w:pPr>
        <w:pStyle w:val="Prrafodelista"/>
        <w:numPr>
          <w:ilvl w:val="0"/>
          <w:numId w:val="98"/>
        </w:numPr>
        <w:spacing w:after="0" w:line="240" w:lineRule="auto"/>
        <w:ind w:left="1440"/>
        <w:jc w:val="both"/>
        <w:rPr>
          <w:rFonts w:cstheme="minorHAnsi"/>
          <w:sz w:val="20"/>
          <w:szCs w:val="20"/>
        </w:rPr>
      </w:pPr>
      <w:r w:rsidRPr="00160081">
        <w:rPr>
          <w:rFonts w:cstheme="minorHAnsi"/>
          <w:sz w:val="20"/>
          <w:szCs w:val="20"/>
        </w:rPr>
        <w:t xml:space="preserve">El contratista podrá proponer una estructura de equipo ampliada o perfiles adicionales conforme a su metodología de trabajo, sin que ello implique costos adicionales para el SRI; sin embargo, la omisión de alguno de los roles definidos como mínimos será causal de incumplimiento de los términos de referencia. </w:t>
      </w:r>
    </w:p>
    <w:p w14:paraId="000537D5" w14:textId="77777777" w:rsidR="00160081" w:rsidRPr="00160081" w:rsidRDefault="00160081" w:rsidP="00160081">
      <w:pPr>
        <w:pStyle w:val="Prrafodelista"/>
        <w:numPr>
          <w:ilvl w:val="0"/>
          <w:numId w:val="98"/>
        </w:numPr>
        <w:spacing w:after="0" w:line="240" w:lineRule="auto"/>
        <w:ind w:left="1440"/>
        <w:jc w:val="both"/>
        <w:rPr>
          <w:rFonts w:cstheme="minorHAnsi"/>
          <w:sz w:val="20"/>
          <w:szCs w:val="20"/>
        </w:rPr>
      </w:pPr>
      <w:r w:rsidRPr="00160081">
        <w:rPr>
          <w:rFonts w:cstheme="minorHAnsi"/>
          <w:sz w:val="20"/>
          <w:szCs w:val="20"/>
        </w:rPr>
        <w:t>El SRI se reserva el derecho de validar la idoneidad, experiencia y continuidad de los recursos propuestos durante la ejecución del contrato.</w:t>
      </w:r>
    </w:p>
    <w:p w14:paraId="015EEEAA" w14:textId="77777777" w:rsidR="00160081" w:rsidRPr="00160081" w:rsidRDefault="00160081" w:rsidP="00160081">
      <w:pPr>
        <w:pStyle w:val="Prrafodelista"/>
        <w:numPr>
          <w:ilvl w:val="0"/>
          <w:numId w:val="98"/>
        </w:numPr>
        <w:spacing w:after="0" w:line="240" w:lineRule="auto"/>
        <w:ind w:left="1440"/>
        <w:jc w:val="both"/>
        <w:rPr>
          <w:rFonts w:cstheme="minorHAnsi"/>
          <w:sz w:val="20"/>
          <w:szCs w:val="20"/>
        </w:rPr>
      </w:pPr>
      <w:r w:rsidRPr="00160081">
        <w:rPr>
          <w:rFonts w:cstheme="minorHAnsi"/>
          <w:sz w:val="20"/>
          <w:szCs w:val="20"/>
        </w:rPr>
        <w:t>Cualquier cambio en la composición del equipo deberá ser informado y aprobado previamente por el Servicio de Rentas Internas, garantizando siempre la continuidad del servicio y el cumplimiento de los perfiles mínimos requeridos.</w:t>
      </w:r>
    </w:p>
    <w:p w14:paraId="31F6B298" w14:textId="77777777" w:rsidR="00160081" w:rsidRPr="00160081" w:rsidRDefault="00160081" w:rsidP="00160081">
      <w:pPr>
        <w:ind w:left="720"/>
        <w:rPr>
          <w:rFonts w:cstheme="minorHAnsi"/>
          <w:sz w:val="20"/>
          <w:szCs w:val="20"/>
        </w:rPr>
      </w:pPr>
    </w:p>
    <w:tbl>
      <w:tblPr>
        <w:tblStyle w:val="Tablaconcuadrcula"/>
        <w:tblW w:w="10022" w:type="dxa"/>
        <w:tblInd w:w="-572" w:type="dxa"/>
        <w:tblLook w:val="04A0" w:firstRow="1" w:lastRow="0" w:firstColumn="1" w:lastColumn="0" w:noHBand="0" w:noVBand="1"/>
      </w:tblPr>
      <w:tblGrid>
        <w:gridCol w:w="1374"/>
        <w:gridCol w:w="960"/>
        <w:gridCol w:w="3053"/>
        <w:gridCol w:w="3123"/>
        <w:gridCol w:w="1512"/>
      </w:tblGrid>
      <w:tr w:rsidR="00160081" w:rsidRPr="00160081" w14:paraId="572173AD" w14:textId="77777777" w:rsidTr="00CA02A6">
        <w:trPr>
          <w:tblHeader/>
        </w:trPr>
        <w:tc>
          <w:tcPr>
            <w:tcW w:w="0" w:type="auto"/>
            <w:hideMark/>
          </w:tcPr>
          <w:p w14:paraId="602E4BF5" w14:textId="77777777" w:rsidR="00160081" w:rsidRPr="00160081" w:rsidRDefault="00160081" w:rsidP="00BD3D91">
            <w:pPr>
              <w:jc w:val="center"/>
              <w:rPr>
                <w:rFonts w:cstheme="minorHAnsi"/>
                <w:b/>
                <w:sz w:val="20"/>
                <w:szCs w:val="20"/>
              </w:rPr>
            </w:pPr>
            <w:r w:rsidRPr="00160081">
              <w:rPr>
                <w:rFonts w:cstheme="minorHAnsi"/>
                <w:b/>
                <w:sz w:val="20"/>
                <w:szCs w:val="20"/>
              </w:rPr>
              <w:t>Rol</w:t>
            </w:r>
          </w:p>
        </w:tc>
        <w:tc>
          <w:tcPr>
            <w:tcW w:w="0" w:type="auto"/>
            <w:hideMark/>
          </w:tcPr>
          <w:p w14:paraId="6B24DA11" w14:textId="77777777" w:rsidR="00160081" w:rsidRPr="00160081" w:rsidRDefault="00160081" w:rsidP="00BD3D91">
            <w:pPr>
              <w:jc w:val="center"/>
              <w:rPr>
                <w:rFonts w:cstheme="minorHAnsi"/>
                <w:b/>
                <w:sz w:val="20"/>
                <w:szCs w:val="20"/>
              </w:rPr>
            </w:pPr>
            <w:r w:rsidRPr="00160081">
              <w:rPr>
                <w:rFonts w:cstheme="minorHAnsi"/>
                <w:b/>
                <w:sz w:val="20"/>
                <w:szCs w:val="20"/>
              </w:rPr>
              <w:t>Cantidad</w:t>
            </w:r>
          </w:p>
        </w:tc>
        <w:tc>
          <w:tcPr>
            <w:tcW w:w="3053" w:type="dxa"/>
            <w:hideMark/>
          </w:tcPr>
          <w:p w14:paraId="7FCEC172" w14:textId="77777777" w:rsidR="00160081" w:rsidRPr="00160081" w:rsidRDefault="00160081" w:rsidP="00BD3D91">
            <w:pPr>
              <w:jc w:val="center"/>
              <w:rPr>
                <w:rFonts w:cstheme="minorHAnsi"/>
                <w:b/>
                <w:sz w:val="20"/>
                <w:szCs w:val="20"/>
              </w:rPr>
            </w:pPr>
            <w:r w:rsidRPr="00160081">
              <w:rPr>
                <w:rFonts w:cstheme="minorHAnsi"/>
                <w:b/>
                <w:sz w:val="20"/>
                <w:szCs w:val="20"/>
              </w:rPr>
              <w:t>Responsabilidades principales</w:t>
            </w:r>
          </w:p>
        </w:tc>
        <w:tc>
          <w:tcPr>
            <w:tcW w:w="3123" w:type="dxa"/>
            <w:hideMark/>
          </w:tcPr>
          <w:p w14:paraId="39E03B9C" w14:textId="77777777" w:rsidR="00160081" w:rsidRPr="00160081" w:rsidRDefault="00160081" w:rsidP="00BD3D91">
            <w:pPr>
              <w:jc w:val="center"/>
              <w:rPr>
                <w:rFonts w:cstheme="minorHAnsi"/>
                <w:b/>
                <w:sz w:val="20"/>
                <w:szCs w:val="20"/>
              </w:rPr>
            </w:pPr>
            <w:r w:rsidRPr="00160081">
              <w:rPr>
                <w:rFonts w:cstheme="minorHAnsi"/>
                <w:b/>
                <w:sz w:val="20"/>
                <w:szCs w:val="20"/>
              </w:rPr>
              <w:t xml:space="preserve">Perfil </w:t>
            </w:r>
          </w:p>
        </w:tc>
        <w:tc>
          <w:tcPr>
            <w:tcW w:w="1512" w:type="dxa"/>
          </w:tcPr>
          <w:p w14:paraId="6A5B99A0" w14:textId="77777777" w:rsidR="00160081" w:rsidRPr="00160081" w:rsidRDefault="00160081" w:rsidP="00BD3D91">
            <w:pPr>
              <w:jc w:val="center"/>
              <w:rPr>
                <w:rFonts w:cstheme="minorHAnsi"/>
                <w:b/>
                <w:sz w:val="20"/>
                <w:szCs w:val="20"/>
              </w:rPr>
            </w:pPr>
            <w:r w:rsidRPr="00160081">
              <w:rPr>
                <w:rFonts w:cstheme="minorHAnsi"/>
                <w:b/>
                <w:sz w:val="20"/>
                <w:szCs w:val="20"/>
              </w:rPr>
              <w:t>Validación del perfil</w:t>
            </w:r>
          </w:p>
        </w:tc>
      </w:tr>
      <w:tr w:rsidR="00160081" w:rsidRPr="00160081" w14:paraId="70494E74" w14:textId="77777777" w:rsidTr="00CA02A6">
        <w:tc>
          <w:tcPr>
            <w:tcW w:w="0" w:type="auto"/>
            <w:hideMark/>
          </w:tcPr>
          <w:p w14:paraId="395FAAE9" w14:textId="77777777" w:rsidR="00160081" w:rsidRPr="00160081" w:rsidRDefault="00160081" w:rsidP="00BD3D91">
            <w:pPr>
              <w:rPr>
                <w:rFonts w:cstheme="minorHAnsi"/>
                <w:sz w:val="20"/>
                <w:szCs w:val="20"/>
              </w:rPr>
            </w:pPr>
            <w:r w:rsidRPr="00160081">
              <w:rPr>
                <w:rFonts w:cstheme="minorHAnsi"/>
                <w:sz w:val="20"/>
                <w:szCs w:val="20"/>
              </w:rPr>
              <w:t>Gerente de Proyecto</w:t>
            </w:r>
          </w:p>
        </w:tc>
        <w:tc>
          <w:tcPr>
            <w:tcW w:w="0" w:type="auto"/>
            <w:hideMark/>
          </w:tcPr>
          <w:p w14:paraId="262C782D"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130B0D6C" w14:textId="77777777" w:rsidR="00160081" w:rsidRPr="00160081" w:rsidRDefault="00160081" w:rsidP="00BD3D91">
            <w:pPr>
              <w:rPr>
                <w:rFonts w:cstheme="minorHAnsi"/>
                <w:sz w:val="20"/>
                <w:szCs w:val="20"/>
              </w:rPr>
            </w:pPr>
            <w:r w:rsidRPr="00160081">
              <w:rPr>
                <w:rFonts w:cstheme="minorHAnsi"/>
                <w:sz w:val="20"/>
                <w:szCs w:val="20"/>
              </w:rPr>
              <w:t>Planificación y control integral del proyecto; coordinación con el SRI; gestión de cronograma, riesgos, dependencias y entregables; punto único de contacto contractual.</w:t>
            </w:r>
          </w:p>
        </w:tc>
        <w:tc>
          <w:tcPr>
            <w:tcW w:w="3123" w:type="dxa"/>
            <w:hideMark/>
          </w:tcPr>
          <w:p w14:paraId="2A0EAF1E" w14:textId="77777777" w:rsidR="00160081" w:rsidRPr="00160081" w:rsidRDefault="00160081" w:rsidP="00BD3D91">
            <w:pPr>
              <w:rPr>
                <w:rFonts w:cstheme="minorHAnsi"/>
                <w:sz w:val="20"/>
                <w:szCs w:val="20"/>
              </w:rPr>
            </w:pPr>
            <w:r w:rsidRPr="00160081">
              <w:rPr>
                <w:rFonts w:cstheme="minorHAnsi"/>
                <w:sz w:val="20"/>
                <w:szCs w:val="20"/>
              </w:rPr>
              <w:t>Profesional universitario en Ingeniería, Sistemas, Informática, Administración o afín. Experiencia mínima de5 años en gestión de proyectos tecnológicos similares. Certificación vigente en gestión de proyectos (PMP, PMI-ACP, o equivalente).</w:t>
            </w:r>
          </w:p>
        </w:tc>
        <w:tc>
          <w:tcPr>
            <w:tcW w:w="1512" w:type="dxa"/>
          </w:tcPr>
          <w:p w14:paraId="1060E54C" w14:textId="77777777" w:rsidR="00160081" w:rsidRPr="00160081" w:rsidRDefault="00160081" w:rsidP="00BD3D91">
            <w:pPr>
              <w:rPr>
                <w:rFonts w:cstheme="minorHAnsi"/>
                <w:sz w:val="20"/>
                <w:szCs w:val="20"/>
              </w:rPr>
            </w:pPr>
            <w:r w:rsidRPr="00160081">
              <w:rPr>
                <w:rFonts w:cstheme="minorHAnsi"/>
                <w:sz w:val="20"/>
                <w:szCs w:val="20"/>
              </w:rPr>
              <w:t>A la presentación de la oferta</w:t>
            </w:r>
          </w:p>
        </w:tc>
      </w:tr>
      <w:tr w:rsidR="00160081" w:rsidRPr="00160081" w14:paraId="6A0C6AAC" w14:textId="77777777" w:rsidTr="00CA02A6">
        <w:tc>
          <w:tcPr>
            <w:tcW w:w="0" w:type="auto"/>
            <w:hideMark/>
          </w:tcPr>
          <w:p w14:paraId="47539AAC" w14:textId="77777777" w:rsidR="00160081" w:rsidRPr="00160081" w:rsidRDefault="00160081" w:rsidP="00BD3D91">
            <w:pPr>
              <w:rPr>
                <w:rFonts w:cstheme="minorHAnsi"/>
                <w:sz w:val="20"/>
                <w:szCs w:val="20"/>
              </w:rPr>
            </w:pPr>
            <w:r w:rsidRPr="00160081">
              <w:rPr>
                <w:rFonts w:cstheme="minorHAnsi"/>
                <w:sz w:val="20"/>
                <w:szCs w:val="20"/>
              </w:rPr>
              <w:t>Arquitecto de Solución</w:t>
            </w:r>
          </w:p>
        </w:tc>
        <w:tc>
          <w:tcPr>
            <w:tcW w:w="0" w:type="auto"/>
            <w:hideMark/>
          </w:tcPr>
          <w:p w14:paraId="6D618CED"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52685523" w14:textId="77777777" w:rsidR="00160081" w:rsidRPr="00160081" w:rsidRDefault="00160081" w:rsidP="00BD3D91">
            <w:pPr>
              <w:rPr>
                <w:rFonts w:cstheme="minorHAnsi"/>
                <w:sz w:val="20"/>
                <w:szCs w:val="20"/>
              </w:rPr>
            </w:pPr>
            <w:r w:rsidRPr="00160081">
              <w:rPr>
                <w:rFonts w:cstheme="minorHAnsi"/>
                <w:sz w:val="20"/>
                <w:szCs w:val="20"/>
              </w:rPr>
              <w:t>Responsable del Diseño y validación de la arquitectura de la suite; alineación técnica entre BPMS, BRMS, ECM y SGRT; definición de patrones, integración, seguridad y escalabilidad.</w:t>
            </w:r>
          </w:p>
        </w:tc>
        <w:tc>
          <w:tcPr>
            <w:tcW w:w="3123" w:type="dxa"/>
            <w:hideMark/>
          </w:tcPr>
          <w:p w14:paraId="0796EF11" w14:textId="77777777" w:rsidR="00160081" w:rsidRPr="00160081" w:rsidRDefault="00160081" w:rsidP="00BD3D91">
            <w:pPr>
              <w:rPr>
                <w:rFonts w:cstheme="minorHAnsi"/>
                <w:sz w:val="20"/>
                <w:szCs w:val="20"/>
              </w:rPr>
            </w:pPr>
            <w:r w:rsidRPr="00160081">
              <w:rPr>
                <w:rFonts w:cstheme="minorHAnsi"/>
                <w:sz w:val="20"/>
                <w:szCs w:val="20"/>
              </w:rPr>
              <w:t>Profesional universitario en Ingeniería de Sistemas, Informática o afín. Experiencia mínima de 5 años en arquitectura de soluciones empresariales. Certificación de arquitectura o del fabricante de la plataforma propuesta (cuando aplique).</w:t>
            </w:r>
          </w:p>
        </w:tc>
        <w:tc>
          <w:tcPr>
            <w:tcW w:w="1512" w:type="dxa"/>
          </w:tcPr>
          <w:p w14:paraId="445E205D" w14:textId="77777777" w:rsidR="00160081" w:rsidRPr="00160081" w:rsidRDefault="00160081" w:rsidP="00BD3D91">
            <w:pPr>
              <w:rPr>
                <w:rFonts w:cstheme="minorHAnsi"/>
                <w:sz w:val="20"/>
                <w:szCs w:val="20"/>
              </w:rPr>
            </w:pPr>
            <w:bookmarkStart w:id="48" w:name="OLE_LINK12"/>
            <w:r w:rsidRPr="00160081">
              <w:rPr>
                <w:rFonts w:cstheme="minorHAnsi"/>
                <w:sz w:val="20"/>
                <w:szCs w:val="20"/>
              </w:rPr>
              <w:t>Durante la ejecución del contrato</w:t>
            </w:r>
            <w:bookmarkEnd w:id="48"/>
            <w:r w:rsidRPr="00160081">
              <w:rPr>
                <w:rFonts w:cstheme="minorHAnsi"/>
                <w:sz w:val="20"/>
                <w:szCs w:val="20"/>
              </w:rPr>
              <w:t xml:space="preserve"> </w:t>
            </w:r>
            <w:bookmarkStart w:id="49" w:name="OLE_LINK73"/>
            <w:r w:rsidRPr="00160081">
              <w:rPr>
                <w:rFonts w:cstheme="minorHAnsi"/>
                <w:sz w:val="20"/>
                <w:szCs w:val="20"/>
              </w:rPr>
              <w:t>conforme al plan de trabajo</w:t>
            </w:r>
            <w:bookmarkEnd w:id="49"/>
          </w:p>
        </w:tc>
      </w:tr>
      <w:tr w:rsidR="00160081" w:rsidRPr="00160081" w14:paraId="3B6A2B3D" w14:textId="77777777" w:rsidTr="00CA02A6">
        <w:tc>
          <w:tcPr>
            <w:tcW w:w="0" w:type="auto"/>
            <w:hideMark/>
          </w:tcPr>
          <w:p w14:paraId="79652EFC" w14:textId="77777777" w:rsidR="00160081" w:rsidRPr="00160081" w:rsidRDefault="00160081" w:rsidP="00BD3D91">
            <w:pPr>
              <w:rPr>
                <w:rFonts w:cstheme="minorHAnsi"/>
                <w:sz w:val="20"/>
                <w:szCs w:val="20"/>
              </w:rPr>
            </w:pPr>
            <w:r w:rsidRPr="00160081">
              <w:rPr>
                <w:rFonts w:cstheme="minorHAnsi"/>
                <w:sz w:val="20"/>
                <w:szCs w:val="20"/>
              </w:rPr>
              <w:t>Especialista Funcional BPMS</w:t>
            </w:r>
          </w:p>
        </w:tc>
        <w:tc>
          <w:tcPr>
            <w:tcW w:w="0" w:type="auto"/>
            <w:hideMark/>
          </w:tcPr>
          <w:p w14:paraId="39C865F8"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57FCAEA3" w14:textId="77777777" w:rsidR="00160081" w:rsidRPr="00160081" w:rsidRDefault="00160081" w:rsidP="00BD3D91">
            <w:pPr>
              <w:rPr>
                <w:rFonts w:cstheme="minorHAnsi"/>
                <w:sz w:val="20"/>
                <w:szCs w:val="20"/>
              </w:rPr>
            </w:pPr>
            <w:r w:rsidRPr="00160081">
              <w:rPr>
                <w:rFonts w:cstheme="minorHAnsi"/>
                <w:sz w:val="20"/>
                <w:szCs w:val="20"/>
              </w:rPr>
              <w:t>Apoyo para el Modelado de procesos BPMN; definición de flujos, tareas y reglas de negocio asociadas; acompañamiento funcional a los casos de uso y parametrización.</w:t>
            </w:r>
          </w:p>
        </w:tc>
        <w:tc>
          <w:tcPr>
            <w:tcW w:w="3123" w:type="dxa"/>
            <w:hideMark/>
          </w:tcPr>
          <w:p w14:paraId="13C4915D" w14:textId="77777777" w:rsidR="00160081" w:rsidRPr="00160081" w:rsidRDefault="00160081" w:rsidP="00BD3D91">
            <w:pPr>
              <w:rPr>
                <w:rFonts w:cstheme="minorHAnsi"/>
                <w:sz w:val="20"/>
                <w:szCs w:val="20"/>
              </w:rPr>
            </w:pPr>
            <w:r w:rsidRPr="00160081">
              <w:rPr>
                <w:rFonts w:cstheme="minorHAnsi"/>
                <w:sz w:val="20"/>
                <w:szCs w:val="20"/>
              </w:rPr>
              <w:t>Profesional universitario en Sistemas, Ingeniería Industrial, Administración o afín. Experiencia mínima de 4 años en BPM/BPMS. Certificación BPM (CBPP, BPMN 2.0 o certificación del fabricante).</w:t>
            </w:r>
          </w:p>
        </w:tc>
        <w:tc>
          <w:tcPr>
            <w:tcW w:w="1512" w:type="dxa"/>
          </w:tcPr>
          <w:p w14:paraId="770950B5"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22EF1DD9" w14:textId="77777777" w:rsidTr="00CA02A6">
        <w:tc>
          <w:tcPr>
            <w:tcW w:w="0" w:type="auto"/>
            <w:hideMark/>
          </w:tcPr>
          <w:p w14:paraId="730983D2" w14:textId="77777777" w:rsidR="00160081" w:rsidRPr="00160081" w:rsidRDefault="00160081" w:rsidP="00BD3D91">
            <w:pPr>
              <w:rPr>
                <w:rFonts w:cstheme="minorHAnsi"/>
                <w:sz w:val="20"/>
                <w:szCs w:val="20"/>
              </w:rPr>
            </w:pPr>
            <w:r w:rsidRPr="00160081">
              <w:rPr>
                <w:rFonts w:cstheme="minorHAnsi"/>
                <w:sz w:val="20"/>
                <w:szCs w:val="20"/>
              </w:rPr>
              <w:t>Especialista Funcional BRMS</w:t>
            </w:r>
          </w:p>
        </w:tc>
        <w:tc>
          <w:tcPr>
            <w:tcW w:w="0" w:type="auto"/>
            <w:hideMark/>
          </w:tcPr>
          <w:p w14:paraId="4F130620"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27DED6C3" w14:textId="77777777" w:rsidR="00160081" w:rsidRPr="00160081" w:rsidRDefault="00160081" w:rsidP="00BD3D91">
            <w:pPr>
              <w:rPr>
                <w:rFonts w:cstheme="minorHAnsi"/>
                <w:sz w:val="20"/>
                <w:szCs w:val="20"/>
              </w:rPr>
            </w:pPr>
            <w:r w:rsidRPr="00160081">
              <w:rPr>
                <w:rFonts w:cstheme="minorHAnsi"/>
                <w:sz w:val="20"/>
                <w:szCs w:val="20"/>
              </w:rPr>
              <w:t>Apoyo para el diseño y parametrización de reglas y decisiones; definición de tablas y modelos de decisión; soporte funcional a la automatización de decisiones.</w:t>
            </w:r>
          </w:p>
        </w:tc>
        <w:tc>
          <w:tcPr>
            <w:tcW w:w="3123" w:type="dxa"/>
            <w:hideMark/>
          </w:tcPr>
          <w:p w14:paraId="2AE1C837" w14:textId="77777777" w:rsidR="00160081" w:rsidRPr="00160081" w:rsidRDefault="00160081" w:rsidP="00BD3D91">
            <w:pPr>
              <w:rPr>
                <w:rFonts w:cstheme="minorHAnsi"/>
                <w:sz w:val="20"/>
                <w:szCs w:val="20"/>
              </w:rPr>
            </w:pPr>
            <w:r w:rsidRPr="00160081">
              <w:rPr>
                <w:rFonts w:cstheme="minorHAnsi"/>
                <w:sz w:val="20"/>
                <w:szCs w:val="20"/>
              </w:rPr>
              <w:t xml:space="preserve">Profesional universitario en Sistemas, Ingeniería, Matemáticas, Economía o afín. Experiencia mínima de 4 años en motores de reglas o decisiones. Certificación del fabricante BRMS o formación acreditable en reglas/decisiones (DMN, </w:t>
            </w:r>
            <w:proofErr w:type="spellStart"/>
            <w:r w:rsidRPr="00160081">
              <w:rPr>
                <w:rFonts w:cstheme="minorHAnsi"/>
                <w:sz w:val="20"/>
                <w:szCs w:val="20"/>
              </w:rPr>
              <w:t>Drools</w:t>
            </w:r>
            <w:proofErr w:type="spellEnd"/>
            <w:r w:rsidRPr="00160081">
              <w:rPr>
                <w:rFonts w:cstheme="minorHAnsi"/>
                <w:sz w:val="20"/>
                <w:szCs w:val="20"/>
              </w:rPr>
              <w:t>, FICO, SAS u otro).</w:t>
            </w:r>
          </w:p>
        </w:tc>
        <w:tc>
          <w:tcPr>
            <w:tcW w:w="1512" w:type="dxa"/>
          </w:tcPr>
          <w:p w14:paraId="32CAA37F"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4B9E62B3" w14:textId="77777777" w:rsidTr="00CA02A6">
        <w:tc>
          <w:tcPr>
            <w:tcW w:w="0" w:type="auto"/>
            <w:hideMark/>
          </w:tcPr>
          <w:p w14:paraId="4A58D816" w14:textId="77777777" w:rsidR="00160081" w:rsidRPr="00160081" w:rsidRDefault="00160081" w:rsidP="00BD3D91">
            <w:pPr>
              <w:rPr>
                <w:rFonts w:cstheme="minorHAnsi"/>
                <w:sz w:val="20"/>
                <w:szCs w:val="20"/>
              </w:rPr>
            </w:pPr>
            <w:r w:rsidRPr="00160081">
              <w:rPr>
                <w:rFonts w:cstheme="minorHAnsi"/>
                <w:sz w:val="20"/>
                <w:szCs w:val="20"/>
              </w:rPr>
              <w:t>Especialista Funcional ECM</w:t>
            </w:r>
          </w:p>
        </w:tc>
        <w:tc>
          <w:tcPr>
            <w:tcW w:w="0" w:type="auto"/>
            <w:hideMark/>
          </w:tcPr>
          <w:p w14:paraId="4D669E0E"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74CA65A9" w14:textId="77777777" w:rsidR="00160081" w:rsidRPr="00160081" w:rsidRDefault="00160081" w:rsidP="00BD3D91">
            <w:pPr>
              <w:rPr>
                <w:rFonts w:cstheme="minorHAnsi"/>
                <w:sz w:val="20"/>
                <w:szCs w:val="20"/>
              </w:rPr>
            </w:pPr>
            <w:r w:rsidRPr="00160081">
              <w:rPr>
                <w:rFonts w:cstheme="minorHAnsi"/>
                <w:sz w:val="20"/>
                <w:szCs w:val="20"/>
              </w:rPr>
              <w:t>Apoyo para el diseño de flujos documentales; definición de metadatos, taxonomías y retención; configuración funcional del gestor documental.</w:t>
            </w:r>
          </w:p>
        </w:tc>
        <w:tc>
          <w:tcPr>
            <w:tcW w:w="3123" w:type="dxa"/>
            <w:hideMark/>
          </w:tcPr>
          <w:p w14:paraId="13AAF7CA" w14:textId="77777777" w:rsidR="00160081" w:rsidRPr="00160081" w:rsidRDefault="00160081" w:rsidP="00BD3D91">
            <w:pPr>
              <w:rPr>
                <w:rFonts w:cstheme="minorHAnsi"/>
                <w:sz w:val="20"/>
                <w:szCs w:val="20"/>
              </w:rPr>
            </w:pPr>
            <w:r w:rsidRPr="00160081">
              <w:rPr>
                <w:rFonts w:cstheme="minorHAnsi"/>
                <w:sz w:val="20"/>
                <w:szCs w:val="20"/>
              </w:rPr>
              <w:t>Profesional universitario en Sistemas, Archivística, Documentación, Ingeniería o afín. Experiencia mínima de 4 años en soluciones ECM. Certificación del fabricante ECM o formación acreditable en gestión documental.</w:t>
            </w:r>
          </w:p>
        </w:tc>
        <w:tc>
          <w:tcPr>
            <w:tcW w:w="1512" w:type="dxa"/>
          </w:tcPr>
          <w:p w14:paraId="20F0A95F"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729D4137" w14:textId="77777777" w:rsidTr="00CA02A6">
        <w:tc>
          <w:tcPr>
            <w:tcW w:w="0" w:type="auto"/>
            <w:hideMark/>
          </w:tcPr>
          <w:p w14:paraId="163D47EB" w14:textId="77777777" w:rsidR="00160081" w:rsidRPr="00160081" w:rsidRDefault="00160081" w:rsidP="00BD3D91">
            <w:pPr>
              <w:rPr>
                <w:rFonts w:cstheme="minorHAnsi"/>
                <w:sz w:val="20"/>
                <w:szCs w:val="20"/>
              </w:rPr>
            </w:pPr>
            <w:r w:rsidRPr="00160081">
              <w:rPr>
                <w:rFonts w:cstheme="minorHAnsi"/>
                <w:sz w:val="20"/>
                <w:szCs w:val="20"/>
              </w:rPr>
              <w:t>Especialista Funcional SGRT</w:t>
            </w:r>
          </w:p>
        </w:tc>
        <w:tc>
          <w:tcPr>
            <w:tcW w:w="0" w:type="auto"/>
            <w:hideMark/>
          </w:tcPr>
          <w:p w14:paraId="47FCC282"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hideMark/>
          </w:tcPr>
          <w:p w14:paraId="46BEE1A6" w14:textId="77777777" w:rsidR="00160081" w:rsidRPr="00160081" w:rsidRDefault="00160081" w:rsidP="00BD3D91">
            <w:pPr>
              <w:rPr>
                <w:rFonts w:cstheme="minorHAnsi"/>
                <w:sz w:val="20"/>
                <w:szCs w:val="20"/>
              </w:rPr>
            </w:pPr>
            <w:r w:rsidRPr="00160081">
              <w:rPr>
                <w:rFonts w:cstheme="minorHAnsi"/>
                <w:sz w:val="20"/>
                <w:szCs w:val="20"/>
              </w:rPr>
              <w:t>Apoyo para la definición funcional del enfoque de gestión de riesgos tributarios; parametrización de criterios y flujos; articulación con BPMS/ECM; acompañamiento al SRI.</w:t>
            </w:r>
          </w:p>
        </w:tc>
        <w:tc>
          <w:tcPr>
            <w:tcW w:w="3123" w:type="dxa"/>
            <w:hideMark/>
          </w:tcPr>
          <w:p w14:paraId="23E370C7" w14:textId="77777777" w:rsidR="00160081" w:rsidRPr="00160081" w:rsidRDefault="00160081" w:rsidP="00BD3D91">
            <w:pPr>
              <w:rPr>
                <w:rFonts w:cstheme="minorHAnsi"/>
                <w:sz w:val="20"/>
                <w:szCs w:val="20"/>
              </w:rPr>
            </w:pPr>
            <w:r w:rsidRPr="00160081">
              <w:rPr>
                <w:rFonts w:cstheme="minorHAnsi"/>
                <w:sz w:val="20"/>
                <w:szCs w:val="20"/>
              </w:rPr>
              <w:t>Profesional universitario en Economía, Finanzas, Estadística, Ingeniería, Sistemas o afín. Experiencia mínima de 4 años en gestión de riesgos, cumplimiento tributario o analítica fiscal. Formación o certificación en riesgos, analítica o fiscalidad (deseable).</w:t>
            </w:r>
          </w:p>
        </w:tc>
        <w:tc>
          <w:tcPr>
            <w:tcW w:w="1512" w:type="dxa"/>
          </w:tcPr>
          <w:p w14:paraId="676A431B"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43485531" w14:textId="77777777" w:rsidTr="00CA02A6">
        <w:tc>
          <w:tcPr>
            <w:tcW w:w="0" w:type="auto"/>
            <w:vAlign w:val="center"/>
          </w:tcPr>
          <w:p w14:paraId="15DBD617" w14:textId="77777777" w:rsidR="00160081" w:rsidRPr="00160081" w:rsidRDefault="00160081" w:rsidP="00BD3D91">
            <w:pPr>
              <w:rPr>
                <w:rFonts w:cstheme="minorHAnsi"/>
                <w:b/>
                <w:sz w:val="20"/>
                <w:szCs w:val="20"/>
              </w:rPr>
            </w:pPr>
            <w:r w:rsidRPr="00160081">
              <w:rPr>
                <w:rStyle w:val="Textoennegrita"/>
                <w:rFonts w:eastAsiaTheme="majorEastAsia" w:cstheme="minorHAnsi"/>
                <w:sz w:val="20"/>
                <w:szCs w:val="20"/>
              </w:rPr>
              <w:t>Especialista en Integración</w:t>
            </w:r>
          </w:p>
        </w:tc>
        <w:tc>
          <w:tcPr>
            <w:tcW w:w="0" w:type="auto"/>
            <w:vAlign w:val="center"/>
          </w:tcPr>
          <w:p w14:paraId="2DB0F49E"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vAlign w:val="center"/>
          </w:tcPr>
          <w:p w14:paraId="78A51714" w14:textId="77777777" w:rsidR="00160081" w:rsidRPr="00160081" w:rsidRDefault="00160081" w:rsidP="00BD3D91">
            <w:pPr>
              <w:rPr>
                <w:rFonts w:cstheme="minorHAnsi"/>
                <w:sz w:val="20"/>
                <w:szCs w:val="20"/>
              </w:rPr>
            </w:pPr>
            <w:r w:rsidRPr="00160081">
              <w:rPr>
                <w:rFonts w:cstheme="minorHAnsi"/>
                <w:sz w:val="20"/>
                <w:szCs w:val="20"/>
              </w:rPr>
              <w:t xml:space="preserve">Diseño e implementación de integraciones; definición de </w:t>
            </w:r>
            <w:proofErr w:type="spellStart"/>
            <w:r w:rsidRPr="00160081">
              <w:rPr>
                <w:rFonts w:cstheme="minorHAnsi"/>
                <w:sz w:val="20"/>
                <w:szCs w:val="20"/>
              </w:rPr>
              <w:t>APIs</w:t>
            </w:r>
            <w:proofErr w:type="spellEnd"/>
            <w:r w:rsidRPr="00160081">
              <w:rPr>
                <w:rFonts w:cstheme="minorHAnsi"/>
                <w:sz w:val="20"/>
                <w:szCs w:val="20"/>
              </w:rPr>
              <w:t>, servicios, mensajería y conectores; aseguramiento de interoperabilidad entre la suite y sistemas del SRI.</w:t>
            </w:r>
          </w:p>
        </w:tc>
        <w:tc>
          <w:tcPr>
            <w:tcW w:w="3123" w:type="dxa"/>
            <w:vAlign w:val="center"/>
          </w:tcPr>
          <w:p w14:paraId="7073579E" w14:textId="77777777" w:rsidR="00160081" w:rsidRPr="00160081" w:rsidRDefault="00160081" w:rsidP="00BD3D91">
            <w:pPr>
              <w:rPr>
                <w:rFonts w:cstheme="minorHAnsi"/>
                <w:sz w:val="20"/>
                <w:szCs w:val="20"/>
              </w:rPr>
            </w:pPr>
            <w:r w:rsidRPr="00160081">
              <w:rPr>
                <w:rFonts w:cstheme="minorHAnsi"/>
                <w:sz w:val="20"/>
                <w:szCs w:val="20"/>
              </w:rPr>
              <w:t>Profesional universitario en Ingeniería de Sistemas, Informática o afín. Experiencia mínima de 4 años en integración de sistemas (</w:t>
            </w:r>
            <w:proofErr w:type="spellStart"/>
            <w:r w:rsidRPr="00160081">
              <w:rPr>
                <w:rFonts w:cstheme="minorHAnsi"/>
                <w:sz w:val="20"/>
                <w:szCs w:val="20"/>
              </w:rPr>
              <w:t>APIs</w:t>
            </w:r>
            <w:proofErr w:type="spellEnd"/>
            <w:r w:rsidRPr="00160081">
              <w:rPr>
                <w:rFonts w:cstheme="minorHAnsi"/>
                <w:sz w:val="20"/>
                <w:szCs w:val="20"/>
              </w:rPr>
              <w:t xml:space="preserve"> REST/SOAP, ESB, mensajería). Certificación en integración o del fabricante (deseable).</w:t>
            </w:r>
          </w:p>
        </w:tc>
        <w:tc>
          <w:tcPr>
            <w:tcW w:w="1512" w:type="dxa"/>
          </w:tcPr>
          <w:p w14:paraId="13F54442"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1F011A87" w14:textId="77777777" w:rsidTr="00CA02A6">
        <w:tc>
          <w:tcPr>
            <w:tcW w:w="0" w:type="auto"/>
            <w:vAlign w:val="center"/>
          </w:tcPr>
          <w:p w14:paraId="48F92200" w14:textId="77777777" w:rsidR="00160081" w:rsidRPr="00160081" w:rsidRDefault="00160081" w:rsidP="00BD3D91">
            <w:pPr>
              <w:rPr>
                <w:rFonts w:cstheme="minorHAnsi"/>
                <w:b/>
                <w:bCs/>
                <w:sz w:val="20"/>
                <w:szCs w:val="20"/>
              </w:rPr>
            </w:pPr>
            <w:r w:rsidRPr="00160081">
              <w:rPr>
                <w:rStyle w:val="Textoennegrita"/>
                <w:rFonts w:eastAsiaTheme="majorEastAsia" w:cstheme="minorHAnsi"/>
                <w:sz w:val="20"/>
                <w:szCs w:val="20"/>
              </w:rPr>
              <w:t>Especialista en Seguridad y Auditoría</w:t>
            </w:r>
          </w:p>
        </w:tc>
        <w:tc>
          <w:tcPr>
            <w:tcW w:w="0" w:type="auto"/>
            <w:vAlign w:val="center"/>
          </w:tcPr>
          <w:p w14:paraId="189A34BE"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vAlign w:val="center"/>
          </w:tcPr>
          <w:p w14:paraId="6EE60F39" w14:textId="77777777" w:rsidR="00160081" w:rsidRPr="00160081" w:rsidRDefault="00160081" w:rsidP="00BD3D91">
            <w:pPr>
              <w:rPr>
                <w:rFonts w:cstheme="minorHAnsi"/>
                <w:sz w:val="20"/>
                <w:szCs w:val="20"/>
              </w:rPr>
            </w:pPr>
            <w:r w:rsidRPr="00160081">
              <w:rPr>
                <w:rFonts w:cstheme="minorHAnsi"/>
                <w:sz w:val="20"/>
                <w:szCs w:val="20"/>
              </w:rPr>
              <w:t>Implementación de controles de seguridad; gestión de accesos, cifrado, trazabilidad y auditoría; alineación con lineamientos de seguridad del SRI.</w:t>
            </w:r>
          </w:p>
        </w:tc>
        <w:tc>
          <w:tcPr>
            <w:tcW w:w="3123" w:type="dxa"/>
            <w:vAlign w:val="center"/>
          </w:tcPr>
          <w:p w14:paraId="0AE2F260" w14:textId="77777777" w:rsidR="00160081" w:rsidRPr="00160081" w:rsidRDefault="00160081" w:rsidP="00BD3D91">
            <w:pPr>
              <w:rPr>
                <w:rFonts w:cstheme="minorHAnsi"/>
                <w:sz w:val="20"/>
                <w:szCs w:val="20"/>
              </w:rPr>
            </w:pPr>
            <w:r w:rsidRPr="00160081">
              <w:rPr>
                <w:rFonts w:cstheme="minorHAnsi"/>
                <w:sz w:val="20"/>
                <w:szCs w:val="20"/>
              </w:rPr>
              <w:t>Profesional universitario en Sistemas, Ingeniería o afín. Experiencia mínima de 4 años en seguridad de la información. Certificaciones deseables: ISO 27001, CISM, CISSP, o certificación del fabricante.</w:t>
            </w:r>
          </w:p>
        </w:tc>
        <w:tc>
          <w:tcPr>
            <w:tcW w:w="1512" w:type="dxa"/>
          </w:tcPr>
          <w:p w14:paraId="3F78F94F"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04A06BE8" w14:textId="77777777" w:rsidTr="00CA02A6">
        <w:tc>
          <w:tcPr>
            <w:tcW w:w="0" w:type="auto"/>
            <w:vAlign w:val="center"/>
          </w:tcPr>
          <w:p w14:paraId="086363D2" w14:textId="77777777" w:rsidR="00160081" w:rsidRPr="00160081" w:rsidRDefault="00160081" w:rsidP="00BD3D91">
            <w:pPr>
              <w:rPr>
                <w:rStyle w:val="Textoennegrita"/>
                <w:rFonts w:eastAsiaTheme="majorEastAsia" w:cstheme="minorHAnsi"/>
                <w:b w:val="0"/>
                <w:bCs w:val="0"/>
                <w:sz w:val="20"/>
                <w:szCs w:val="20"/>
              </w:rPr>
            </w:pPr>
            <w:r w:rsidRPr="00160081">
              <w:rPr>
                <w:rStyle w:val="Textoennegrita"/>
                <w:rFonts w:eastAsiaTheme="majorEastAsia" w:cstheme="minorHAnsi"/>
                <w:sz w:val="20"/>
                <w:szCs w:val="20"/>
              </w:rPr>
              <w:t>Ingeniero de pruebas</w:t>
            </w:r>
          </w:p>
        </w:tc>
        <w:tc>
          <w:tcPr>
            <w:tcW w:w="0" w:type="auto"/>
            <w:vAlign w:val="center"/>
          </w:tcPr>
          <w:p w14:paraId="67F91A4C"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vAlign w:val="center"/>
          </w:tcPr>
          <w:p w14:paraId="5A72B97D" w14:textId="77777777" w:rsidR="00160081" w:rsidRPr="00160081" w:rsidRDefault="00160081" w:rsidP="00BD3D91">
            <w:pPr>
              <w:rPr>
                <w:rFonts w:cstheme="minorHAnsi"/>
                <w:sz w:val="20"/>
                <w:szCs w:val="20"/>
              </w:rPr>
            </w:pPr>
            <w:r w:rsidRPr="00160081">
              <w:rPr>
                <w:rFonts w:cstheme="minorHAnsi"/>
                <w:sz w:val="20"/>
                <w:szCs w:val="20"/>
              </w:rPr>
              <w:t>Responsable de la ejecución de las pruebas no funcionales y apoyo en las</w:t>
            </w:r>
          </w:p>
          <w:p w14:paraId="7E42CF1E" w14:textId="77777777" w:rsidR="00160081" w:rsidRPr="00160081" w:rsidRDefault="00160081" w:rsidP="00BD3D91">
            <w:pPr>
              <w:rPr>
                <w:rFonts w:cstheme="minorHAnsi"/>
                <w:sz w:val="20"/>
                <w:szCs w:val="20"/>
              </w:rPr>
            </w:pPr>
            <w:r w:rsidRPr="00160081">
              <w:rPr>
                <w:rFonts w:cstheme="minorHAnsi"/>
                <w:sz w:val="20"/>
                <w:szCs w:val="20"/>
              </w:rPr>
              <w:t xml:space="preserve">pruebas funcionales y de carga, automatización, generación   de   reportes, informes   y métricas del proceso de pruebas, mantener y administrar los </w:t>
            </w:r>
            <w:proofErr w:type="gramStart"/>
            <w:r w:rsidRPr="00160081">
              <w:rPr>
                <w:rFonts w:cstheme="minorHAnsi"/>
                <w:sz w:val="20"/>
                <w:szCs w:val="20"/>
              </w:rPr>
              <w:t>ambientes  de</w:t>
            </w:r>
            <w:proofErr w:type="gramEnd"/>
            <w:r w:rsidRPr="00160081">
              <w:rPr>
                <w:rFonts w:cstheme="minorHAnsi"/>
                <w:sz w:val="20"/>
                <w:szCs w:val="20"/>
              </w:rPr>
              <w:t xml:space="preserve"> </w:t>
            </w:r>
            <w:proofErr w:type="spellStart"/>
            <w:r w:rsidRPr="00160081">
              <w:rPr>
                <w:rFonts w:cstheme="minorHAnsi"/>
                <w:sz w:val="20"/>
                <w:szCs w:val="20"/>
              </w:rPr>
              <w:t>testing</w:t>
            </w:r>
            <w:proofErr w:type="spellEnd"/>
            <w:r w:rsidRPr="00160081">
              <w:rPr>
                <w:rFonts w:cstheme="minorHAnsi"/>
                <w:sz w:val="20"/>
                <w:szCs w:val="20"/>
              </w:rPr>
              <w:t xml:space="preserve"> y preproducción</w:t>
            </w:r>
          </w:p>
        </w:tc>
        <w:tc>
          <w:tcPr>
            <w:tcW w:w="3123" w:type="dxa"/>
            <w:vAlign w:val="center"/>
          </w:tcPr>
          <w:p w14:paraId="6410A284" w14:textId="77777777" w:rsidR="00160081" w:rsidRPr="00160081" w:rsidRDefault="00160081" w:rsidP="00BD3D91">
            <w:pPr>
              <w:rPr>
                <w:rFonts w:cstheme="minorHAnsi"/>
                <w:sz w:val="20"/>
                <w:szCs w:val="20"/>
              </w:rPr>
            </w:pPr>
            <w:r w:rsidRPr="00160081">
              <w:rPr>
                <w:rFonts w:cstheme="minorHAnsi"/>
                <w:sz w:val="20"/>
                <w:szCs w:val="20"/>
              </w:rPr>
              <w:t>Profesional universitario en Sistemas, Ingeniería, Educación o afín. Experiencia mínima de 4 años en planificación ejecución y automatización de pruebas. Certificación ISTQB o experiencia acreditable en formación técnica relacionada.</w:t>
            </w:r>
          </w:p>
        </w:tc>
        <w:tc>
          <w:tcPr>
            <w:tcW w:w="1512" w:type="dxa"/>
          </w:tcPr>
          <w:p w14:paraId="6D377C17"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r w:rsidR="00160081" w:rsidRPr="00160081" w14:paraId="143C3391" w14:textId="77777777" w:rsidTr="00CA02A6">
        <w:tc>
          <w:tcPr>
            <w:tcW w:w="0" w:type="auto"/>
            <w:vAlign w:val="center"/>
          </w:tcPr>
          <w:p w14:paraId="195845FA" w14:textId="77777777" w:rsidR="00160081" w:rsidRPr="00160081" w:rsidRDefault="00160081" w:rsidP="00BD3D91">
            <w:pPr>
              <w:rPr>
                <w:rFonts w:cstheme="minorHAnsi"/>
                <w:b/>
                <w:bCs/>
                <w:sz w:val="20"/>
                <w:szCs w:val="20"/>
              </w:rPr>
            </w:pPr>
            <w:r w:rsidRPr="00160081">
              <w:rPr>
                <w:rStyle w:val="Textoennegrita"/>
                <w:rFonts w:eastAsiaTheme="majorEastAsia" w:cstheme="minorHAnsi"/>
                <w:sz w:val="20"/>
                <w:szCs w:val="20"/>
              </w:rPr>
              <w:t>Especialista en Transferencia de Conocimiento y Capacitación</w:t>
            </w:r>
          </w:p>
        </w:tc>
        <w:tc>
          <w:tcPr>
            <w:tcW w:w="0" w:type="auto"/>
            <w:vAlign w:val="center"/>
          </w:tcPr>
          <w:p w14:paraId="6A813F1D" w14:textId="77777777" w:rsidR="00160081" w:rsidRPr="00160081" w:rsidRDefault="00160081" w:rsidP="00BD3D91">
            <w:pPr>
              <w:jc w:val="center"/>
              <w:rPr>
                <w:rFonts w:cstheme="minorHAnsi"/>
                <w:sz w:val="20"/>
                <w:szCs w:val="20"/>
              </w:rPr>
            </w:pPr>
            <w:r w:rsidRPr="00160081">
              <w:rPr>
                <w:rFonts w:cstheme="minorHAnsi"/>
                <w:sz w:val="20"/>
                <w:szCs w:val="20"/>
              </w:rPr>
              <w:t>1</w:t>
            </w:r>
          </w:p>
        </w:tc>
        <w:tc>
          <w:tcPr>
            <w:tcW w:w="3053" w:type="dxa"/>
            <w:vAlign w:val="center"/>
          </w:tcPr>
          <w:p w14:paraId="7B5F3DAF" w14:textId="77777777" w:rsidR="00160081" w:rsidRPr="00160081" w:rsidRDefault="00160081" w:rsidP="00BD3D91">
            <w:pPr>
              <w:rPr>
                <w:rFonts w:cstheme="minorHAnsi"/>
                <w:sz w:val="20"/>
                <w:szCs w:val="20"/>
              </w:rPr>
            </w:pPr>
            <w:r w:rsidRPr="00160081">
              <w:rPr>
                <w:rFonts w:cstheme="minorHAnsi"/>
                <w:sz w:val="20"/>
                <w:szCs w:val="20"/>
              </w:rPr>
              <w:t>Diseño y ejecución del plan de transferencia de conocimiento; capacitación por perfiles; elaboración de materiales, manuales y laboratorios; acompañamiento al SRI.</w:t>
            </w:r>
          </w:p>
        </w:tc>
        <w:tc>
          <w:tcPr>
            <w:tcW w:w="3123" w:type="dxa"/>
            <w:vAlign w:val="center"/>
          </w:tcPr>
          <w:p w14:paraId="0FCE4FF9" w14:textId="77777777" w:rsidR="00160081" w:rsidRPr="00160081" w:rsidRDefault="00160081" w:rsidP="00BD3D91">
            <w:pPr>
              <w:rPr>
                <w:rFonts w:cstheme="minorHAnsi"/>
                <w:sz w:val="20"/>
                <w:szCs w:val="20"/>
              </w:rPr>
            </w:pPr>
            <w:r w:rsidRPr="00160081">
              <w:rPr>
                <w:rFonts w:cstheme="minorHAnsi"/>
                <w:sz w:val="20"/>
                <w:szCs w:val="20"/>
              </w:rPr>
              <w:t>Profesional universitario en Sistemas, Ingeniería, Educación o afín. Experiencia mínima de 4 años en capacitación de plataformas tecnológicas empresariales. Certificación como instructor del fabricante o experiencia acreditable en formación técnica.</w:t>
            </w:r>
          </w:p>
        </w:tc>
        <w:tc>
          <w:tcPr>
            <w:tcW w:w="1512" w:type="dxa"/>
          </w:tcPr>
          <w:p w14:paraId="78DEBE6C" w14:textId="77777777" w:rsidR="00160081" w:rsidRPr="00160081" w:rsidRDefault="00160081" w:rsidP="00BD3D91">
            <w:pPr>
              <w:rPr>
                <w:rFonts w:cstheme="minorHAnsi"/>
                <w:sz w:val="20"/>
                <w:szCs w:val="20"/>
              </w:rPr>
            </w:pPr>
            <w:r w:rsidRPr="00160081">
              <w:rPr>
                <w:rFonts w:cstheme="minorHAnsi"/>
                <w:sz w:val="20"/>
                <w:szCs w:val="20"/>
              </w:rPr>
              <w:t>Durante la ejecución del contrato conforme al plan de trabajo</w:t>
            </w:r>
          </w:p>
        </w:tc>
      </w:tr>
    </w:tbl>
    <w:p w14:paraId="6492FEBE" w14:textId="77777777" w:rsidR="00160081" w:rsidRPr="00160081" w:rsidRDefault="00160081" w:rsidP="00160081">
      <w:pPr>
        <w:ind w:left="720"/>
        <w:rPr>
          <w:rFonts w:cstheme="minorHAnsi"/>
          <w:sz w:val="20"/>
          <w:szCs w:val="20"/>
        </w:rPr>
      </w:pPr>
    </w:p>
    <w:p w14:paraId="76439A48" w14:textId="77777777" w:rsidR="00160081" w:rsidRPr="00160081" w:rsidRDefault="00160081" w:rsidP="00160081">
      <w:pPr>
        <w:ind w:left="720"/>
        <w:rPr>
          <w:rFonts w:cstheme="minorHAnsi"/>
          <w:sz w:val="20"/>
          <w:szCs w:val="20"/>
        </w:rPr>
      </w:pPr>
    </w:p>
    <w:p w14:paraId="1A82C581" w14:textId="22736830"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50" w:name="_Toc217326205"/>
      <w:r w:rsidRPr="00160081">
        <w:rPr>
          <w:rFonts w:asciiTheme="minorHAnsi" w:eastAsia="Times New Roman" w:hAnsiTheme="minorHAnsi" w:cstheme="minorHAnsi"/>
          <w:b/>
          <w:bCs/>
          <w:color w:val="000000" w:themeColor="text1"/>
          <w:sz w:val="20"/>
          <w:szCs w:val="20"/>
        </w:rPr>
        <w:t>5.</w:t>
      </w:r>
      <w:r w:rsidR="00CA02A6">
        <w:rPr>
          <w:rFonts w:asciiTheme="minorHAnsi" w:eastAsia="Times New Roman" w:hAnsiTheme="minorHAnsi" w:cstheme="minorHAnsi"/>
          <w:b/>
          <w:bCs/>
          <w:color w:val="000000" w:themeColor="text1"/>
          <w:sz w:val="20"/>
          <w:szCs w:val="20"/>
        </w:rPr>
        <w:t>4</w:t>
      </w:r>
      <w:r w:rsidRPr="00160081">
        <w:rPr>
          <w:rFonts w:asciiTheme="minorHAnsi" w:eastAsia="Times New Roman" w:hAnsiTheme="minorHAnsi" w:cstheme="minorHAnsi"/>
          <w:b/>
          <w:bCs/>
          <w:color w:val="000000" w:themeColor="text1"/>
          <w:sz w:val="20"/>
          <w:szCs w:val="20"/>
        </w:rPr>
        <w:t xml:space="preserve"> </w:t>
      </w:r>
      <w:bookmarkEnd w:id="50"/>
      <w:r w:rsidRPr="00160081">
        <w:rPr>
          <w:rFonts w:asciiTheme="minorHAnsi" w:eastAsia="Times New Roman" w:hAnsiTheme="minorHAnsi" w:cstheme="minorHAnsi"/>
          <w:b/>
          <w:bCs/>
          <w:color w:val="000000" w:themeColor="text1"/>
          <w:sz w:val="20"/>
          <w:szCs w:val="20"/>
        </w:rPr>
        <w:t>Evidencia Documental</w:t>
      </w:r>
    </w:p>
    <w:p w14:paraId="25DF9765" w14:textId="77777777" w:rsidR="00160081" w:rsidRPr="00160081" w:rsidRDefault="00160081" w:rsidP="00160081">
      <w:pPr>
        <w:spacing w:line="276" w:lineRule="auto"/>
        <w:ind w:left="720"/>
        <w:jc w:val="both"/>
        <w:rPr>
          <w:rFonts w:cstheme="minorHAnsi"/>
          <w:sz w:val="20"/>
          <w:szCs w:val="20"/>
          <w:lang w:eastAsia="zh-CN"/>
        </w:rPr>
      </w:pPr>
    </w:p>
    <w:p w14:paraId="0DBFB3A5" w14:textId="77777777" w:rsidR="00160081" w:rsidRPr="00160081" w:rsidRDefault="00160081" w:rsidP="00160081">
      <w:pPr>
        <w:shd w:val="clear" w:color="auto" w:fill="FFFFFF"/>
        <w:autoSpaceDE w:val="0"/>
        <w:autoSpaceDN w:val="0"/>
        <w:adjustRightInd w:val="0"/>
        <w:ind w:left="720"/>
        <w:jc w:val="both"/>
        <w:rPr>
          <w:rFonts w:cstheme="minorHAnsi"/>
          <w:sz w:val="20"/>
          <w:szCs w:val="20"/>
        </w:rPr>
      </w:pPr>
      <w:r w:rsidRPr="00160081">
        <w:rPr>
          <w:rFonts w:cstheme="minorHAnsi"/>
          <w:sz w:val="20"/>
          <w:szCs w:val="20"/>
        </w:rPr>
        <w:t>El contratista deberá entregar la siguiente documentación en medio impreso y/o digital con las firmas de responsabilidad correspondientes por cada entrega parcial o salida a producción incluida las pruebas de usuario final y estabilización, los requerimientos aquí detallados serán de cumplimiento obligatorio por parte del contratista y validados por la entidad contratante:</w:t>
      </w:r>
    </w:p>
    <w:p w14:paraId="0E5B6C07" w14:textId="77777777" w:rsidR="00160081" w:rsidRPr="00160081" w:rsidRDefault="00160081" w:rsidP="00160081">
      <w:pPr>
        <w:ind w:left="1944"/>
        <w:rPr>
          <w:rFonts w:cstheme="minorHAnsi"/>
          <w:sz w:val="20"/>
          <w:szCs w:val="20"/>
        </w:rPr>
      </w:pP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5"/>
        <w:gridCol w:w="5723"/>
      </w:tblGrid>
      <w:tr w:rsidR="00160081" w:rsidRPr="00160081" w14:paraId="17B802FC" w14:textId="77777777" w:rsidTr="00BD3D91">
        <w:trPr>
          <w:tblHeader/>
        </w:trPr>
        <w:tc>
          <w:tcPr>
            <w:tcW w:w="2428" w:type="dxa"/>
            <w:vAlign w:val="center"/>
          </w:tcPr>
          <w:p w14:paraId="644C0D07" w14:textId="77777777" w:rsidR="00160081" w:rsidRPr="00160081" w:rsidRDefault="00160081" w:rsidP="00BD3D91">
            <w:pPr>
              <w:spacing w:line="276" w:lineRule="auto"/>
              <w:jc w:val="center"/>
              <w:rPr>
                <w:rFonts w:cstheme="minorHAnsi"/>
                <w:b/>
                <w:bCs/>
                <w:sz w:val="20"/>
                <w:szCs w:val="20"/>
              </w:rPr>
            </w:pPr>
            <w:r w:rsidRPr="00160081">
              <w:rPr>
                <w:rFonts w:cstheme="minorHAnsi"/>
                <w:b/>
                <w:bCs/>
                <w:sz w:val="20"/>
                <w:szCs w:val="20"/>
              </w:rPr>
              <w:t>Concepto</w:t>
            </w:r>
          </w:p>
        </w:tc>
        <w:tc>
          <w:tcPr>
            <w:tcW w:w="6922" w:type="dxa"/>
            <w:vAlign w:val="center"/>
          </w:tcPr>
          <w:p w14:paraId="549CA021" w14:textId="77777777" w:rsidR="00160081" w:rsidRPr="00160081" w:rsidRDefault="00160081" w:rsidP="00BD3D91">
            <w:pPr>
              <w:spacing w:line="276" w:lineRule="auto"/>
              <w:jc w:val="center"/>
              <w:rPr>
                <w:rFonts w:cstheme="minorHAnsi"/>
                <w:b/>
                <w:bCs/>
                <w:sz w:val="20"/>
                <w:szCs w:val="20"/>
              </w:rPr>
            </w:pPr>
            <w:r w:rsidRPr="00160081">
              <w:rPr>
                <w:rFonts w:cstheme="minorHAnsi"/>
                <w:b/>
                <w:bCs/>
                <w:sz w:val="20"/>
                <w:szCs w:val="20"/>
              </w:rPr>
              <w:t>Documento</w:t>
            </w:r>
          </w:p>
        </w:tc>
      </w:tr>
      <w:tr w:rsidR="00160081" w:rsidRPr="00160081" w14:paraId="420217DF" w14:textId="77777777" w:rsidTr="00BD3D91">
        <w:tc>
          <w:tcPr>
            <w:tcW w:w="2428" w:type="dxa"/>
            <w:vMerge w:val="restart"/>
            <w:vAlign w:val="center"/>
          </w:tcPr>
          <w:p w14:paraId="09572DBB" w14:textId="77777777" w:rsidR="00160081" w:rsidRPr="00160081" w:rsidRDefault="00160081" w:rsidP="00BD3D91">
            <w:pPr>
              <w:tabs>
                <w:tab w:val="left" w:pos="1418"/>
                <w:tab w:val="left" w:pos="3168"/>
              </w:tabs>
              <w:suppressAutoHyphens/>
              <w:spacing w:line="276" w:lineRule="auto"/>
              <w:rPr>
                <w:rFonts w:cstheme="minorHAnsi"/>
                <w:sz w:val="20"/>
                <w:szCs w:val="20"/>
              </w:rPr>
            </w:pPr>
            <w:r w:rsidRPr="00160081">
              <w:rPr>
                <w:rFonts w:cstheme="minorHAnsi"/>
                <w:sz w:val="20"/>
                <w:szCs w:val="20"/>
              </w:rPr>
              <w:t>Gestión del proyecto</w:t>
            </w:r>
          </w:p>
          <w:p w14:paraId="70820A8A" w14:textId="77777777" w:rsidR="00160081" w:rsidRPr="00160081" w:rsidRDefault="00160081" w:rsidP="00BD3D91">
            <w:pPr>
              <w:spacing w:line="276" w:lineRule="auto"/>
              <w:rPr>
                <w:rFonts w:cstheme="minorHAnsi"/>
                <w:sz w:val="20"/>
                <w:szCs w:val="20"/>
              </w:rPr>
            </w:pPr>
          </w:p>
        </w:tc>
        <w:tc>
          <w:tcPr>
            <w:tcW w:w="6922" w:type="dxa"/>
            <w:vAlign w:val="center"/>
          </w:tcPr>
          <w:p w14:paraId="47DB4565" w14:textId="77777777" w:rsidR="00160081" w:rsidRPr="00160081" w:rsidRDefault="00160081" w:rsidP="00BD3D91">
            <w:pPr>
              <w:spacing w:line="276" w:lineRule="auto"/>
              <w:rPr>
                <w:rFonts w:cstheme="minorHAnsi"/>
                <w:sz w:val="20"/>
                <w:szCs w:val="20"/>
              </w:rPr>
            </w:pPr>
            <w:r w:rsidRPr="00160081">
              <w:rPr>
                <w:rFonts w:cstheme="minorHAnsi"/>
                <w:sz w:val="20"/>
                <w:szCs w:val="20"/>
              </w:rPr>
              <w:t>Plan de ejecución del proyecto</w:t>
            </w:r>
          </w:p>
        </w:tc>
      </w:tr>
      <w:tr w:rsidR="00160081" w:rsidRPr="00160081" w14:paraId="0904FB3E" w14:textId="77777777" w:rsidTr="00BD3D91">
        <w:tc>
          <w:tcPr>
            <w:tcW w:w="2428" w:type="dxa"/>
            <w:vMerge/>
            <w:vAlign w:val="center"/>
          </w:tcPr>
          <w:p w14:paraId="655A9A3B" w14:textId="77777777" w:rsidR="00160081" w:rsidRPr="00160081" w:rsidRDefault="00160081" w:rsidP="00BD3D91">
            <w:pPr>
              <w:spacing w:line="276" w:lineRule="auto"/>
              <w:rPr>
                <w:rFonts w:cstheme="minorHAnsi"/>
                <w:sz w:val="20"/>
                <w:szCs w:val="20"/>
              </w:rPr>
            </w:pPr>
          </w:p>
        </w:tc>
        <w:tc>
          <w:tcPr>
            <w:tcW w:w="6922" w:type="dxa"/>
            <w:vAlign w:val="center"/>
          </w:tcPr>
          <w:p w14:paraId="5FDBA991" w14:textId="77777777" w:rsidR="00160081" w:rsidRPr="00160081" w:rsidRDefault="00160081" w:rsidP="00BD3D91">
            <w:pPr>
              <w:spacing w:line="276" w:lineRule="auto"/>
              <w:rPr>
                <w:rFonts w:cstheme="minorHAnsi"/>
                <w:sz w:val="20"/>
                <w:szCs w:val="20"/>
              </w:rPr>
            </w:pPr>
            <w:r w:rsidRPr="00160081">
              <w:rPr>
                <w:rFonts w:cstheme="minorHAnsi"/>
                <w:sz w:val="20"/>
                <w:szCs w:val="20"/>
              </w:rPr>
              <w:t>Actas de reunión</w:t>
            </w:r>
          </w:p>
        </w:tc>
      </w:tr>
      <w:tr w:rsidR="00160081" w:rsidRPr="00160081" w14:paraId="09DC6FD8" w14:textId="77777777" w:rsidTr="00BD3D91">
        <w:tc>
          <w:tcPr>
            <w:tcW w:w="2428" w:type="dxa"/>
            <w:vMerge/>
            <w:vAlign w:val="center"/>
          </w:tcPr>
          <w:p w14:paraId="1F272BA7" w14:textId="77777777" w:rsidR="00160081" w:rsidRPr="00160081" w:rsidRDefault="00160081" w:rsidP="00BD3D91">
            <w:pPr>
              <w:spacing w:line="276" w:lineRule="auto"/>
              <w:rPr>
                <w:rFonts w:cstheme="minorHAnsi"/>
                <w:sz w:val="20"/>
                <w:szCs w:val="20"/>
              </w:rPr>
            </w:pPr>
          </w:p>
        </w:tc>
        <w:tc>
          <w:tcPr>
            <w:tcW w:w="6922" w:type="dxa"/>
            <w:vAlign w:val="center"/>
          </w:tcPr>
          <w:p w14:paraId="3CC26D00" w14:textId="77777777" w:rsidR="00160081" w:rsidRPr="00160081" w:rsidRDefault="00160081" w:rsidP="00BD3D91">
            <w:pPr>
              <w:spacing w:line="276" w:lineRule="auto"/>
              <w:rPr>
                <w:rFonts w:cstheme="minorHAnsi"/>
                <w:sz w:val="20"/>
                <w:szCs w:val="20"/>
              </w:rPr>
            </w:pPr>
            <w:r w:rsidRPr="00160081">
              <w:rPr>
                <w:rFonts w:cstheme="minorHAnsi"/>
                <w:sz w:val="20"/>
                <w:szCs w:val="20"/>
              </w:rPr>
              <w:t>Actas de aceptación parciales suscritas con el administrador del contrato</w:t>
            </w:r>
          </w:p>
        </w:tc>
      </w:tr>
      <w:tr w:rsidR="00160081" w:rsidRPr="00160081" w14:paraId="787BE9B0" w14:textId="77777777" w:rsidTr="00BD3D91">
        <w:tc>
          <w:tcPr>
            <w:tcW w:w="2428" w:type="dxa"/>
            <w:vMerge/>
            <w:vAlign w:val="center"/>
          </w:tcPr>
          <w:p w14:paraId="68BB78F3" w14:textId="77777777" w:rsidR="00160081" w:rsidRPr="00160081" w:rsidRDefault="00160081" w:rsidP="00BD3D91">
            <w:pPr>
              <w:spacing w:line="276" w:lineRule="auto"/>
              <w:rPr>
                <w:rFonts w:cstheme="minorHAnsi"/>
                <w:sz w:val="20"/>
                <w:szCs w:val="20"/>
              </w:rPr>
            </w:pPr>
          </w:p>
        </w:tc>
        <w:tc>
          <w:tcPr>
            <w:tcW w:w="6922" w:type="dxa"/>
            <w:vAlign w:val="center"/>
          </w:tcPr>
          <w:p w14:paraId="7B1BE70D" w14:textId="77777777" w:rsidR="00160081" w:rsidRPr="00160081" w:rsidRDefault="00160081" w:rsidP="00BD3D91">
            <w:pPr>
              <w:spacing w:line="276" w:lineRule="auto"/>
              <w:rPr>
                <w:rFonts w:cstheme="minorHAnsi"/>
                <w:sz w:val="20"/>
                <w:szCs w:val="20"/>
              </w:rPr>
            </w:pPr>
            <w:r w:rsidRPr="00160081">
              <w:rPr>
                <w:rFonts w:cstheme="minorHAnsi"/>
                <w:sz w:val="20"/>
                <w:szCs w:val="20"/>
              </w:rPr>
              <w:t>Matriz de riesgos del proyecto</w:t>
            </w:r>
          </w:p>
        </w:tc>
      </w:tr>
      <w:tr w:rsidR="00160081" w:rsidRPr="00160081" w14:paraId="0220C8F0" w14:textId="77777777" w:rsidTr="00BD3D91">
        <w:tc>
          <w:tcPr>
            <w:tcW w:w="2428" w:type="dxa"/>
            <w:vMerge/>
            <w:vAlign w:val="center"/>
          </w:tcPr>
          <w:p w14:paraId="44C0EA77" w14:textId="77777777" w:rsidR="00160081" w:rsidRPr="00160081" w:rsidRDefault="00160081" w:rsidP="00BD3D91">
            <w:pPr>
              <w:spacing w:line="276" w:lineRule="auto"/>
              <w:rPr>
                <w:rFonts w:cstheme="minorHAnsi"/>
                <w:sz w:val="20"/>
                <w:szCs w:val="20"/>
              </w:rPr>
            </w:pPr>
          </w:p>
        </w:tc>
        <w:tc>
          <w:tcPr>
            <w:tcW w:w="6922" w:type="dxa"/>
            <w:vAlign w:val="center"/>
          </w:tcPr>
          <w:p w14:paraId="37EFB5DE"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Informes de avance del proyecto</w:t>
            </w:r>
          </w:p>
        </w:tc>
      </w:tr>
      <w:tr w:rsidR="00160081" w:rsidRPr="00160081" w14:paraId="3EB80B03" w14:textId="77777777" w:rsidTr="00BD3D91">
        <w:tc>
          <w:tcPr>
            <w:tcW w:w="2428" w:type="dxa"/>
            <w:vMerge/>
            <w:vAlign w:val="center"/>
          </w:tcPr>
          <w:p w14:paraId="3EC95702" w14:textId="77777777" w:rsidR="00160081" w:rsidRPr="00160081" w:rsidRDefault="00160081" w:rsidP="00BD3D91">
            <w:pPr>
              <w:spacing w:line="276" w:lineRule="auto"/>
              <w:rPr>
                <w:rFonts w:cstheme="minorHAnsi"/>
                <w:sz w:val="20"/>
                <w:szCs w:val="20"/>
              </w:rPr>
            </w:pPr>
          </w:p>
        </w:tc>
        <w:tc>
          <w:tcPr>
            <w:tcW w:w="6922" w:type="dxa"/>
            <w:vAlign w:val="center"/>
          </w:tcPr>
          <w:p w14:paraId="4D1BCDEE"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 xml:space="preserve">Acuerdos de confidencialidad </w:t>
            </w:r>
          </w:p>
        </w:tc>
      </w:tr>
      <w:tr w:rsidR="00160081" w:rsidRPr="00160081" w14:paraId="0BADAB37" w14:textId="77777777" w:rsidTr="00BD3D91">
        <w:tc>
          <w:tcPr>
            <w:tcW w:w="2428" w:type="dxa"/>
            <w:vMerge/>
            <w:vAlign w:val="center"/>
          </w:tcPr>
          <w:p w14:paraId="358B4CFB" w14:textId="77777777" w:rsidR="00160081" w:rsidRPr="00160081" w:rsidRDefault="00160081" w:rsidP="00BD3D91">
            <w:pPr>
              <w:spacing w:line="276" w:lineRule="auto"/>
              <w:rPr>
                <w:rFonts w:cstheme="minorHAnsi"/>
                <w:sz w:val="20"/>
                <w:szCs w:val="20"/>
              </w:rPr>
            </w:pPr>
          </w:p>
        </w:tc>
        <w:tc>
          <w:tcPr>
            <w:tcW w:w="6922" w:type="dxa"/>
            <w:vAlign w:val="center"/>
          </w:tcPr>
          <w:p w14:paraId="3C14F953" w14:textId="77777777" w:rsidR="00160081" w:rsidRPr="00160081" w:rsidRDefault="00160081" w:rsidP="00BD3D91">
            <w:pPr>
              <w:rPr>
                <w:rFonts w:cstheme="minorHAnsi"/>
                <w:sz w:val="20"/>
                <w:szCs w:val="20"/>
              </w:rPr>
            </w:pPr>
            <w:r w:rsidRPr="00160081">
              <w:rPr>
                <w:rFonts w:cstheme="minorHAnsi"/>
                <w:color w:val="000000"/>
                <w:sz w:val="20"/>
                <w:szCs w:val="20"/>
                <w:lang w:eastAsia="es-EC"/>
              </w:rPr>
              <w:t xml:space="preserve">Documentación especificada descrita en la sección: 6.4.1.2. </w:t>
            </w:r>
            <w:bookmarkStart w:id="51" w:name="OLE_LINK76"/>
            <w:r w:rsidRPr="00160081">
              <w:rPr>
                <w:rFonts w:cstheme="minorHAnsi"/>
                <w:color w:val="000000"/>
                <w:sz w:val="20"/>
                <w:szCs w:val="20"/>
                <w:lang w:eastAsia="es-EC"/>
              </w:rPr>
              <w:t>Artefactos funcionales, técnicos y operativos</w:t>
            </w:r>
            <w:bookmarkEnd w:id="51"/>
            <w:r w:rsidRPr="00160081">
              <w:rPr>
                <w:rFonts w:cstheme="minorHAnsi"/>
                <w:color w:val="000000"/>
                <w:sz w:val="20"/>
                <w:szCs w:val="20"/>
                <w:lang w:eastAsia="es-EC"/>
              </w:rPr>
              <w:t>, 6.4 Implementaciones requeridas en Proyectos, 9.2 Metodología de implementación de casos de uso en BPMS y 9.4.4 Criterios de aceptación y otras que se requieren.</w:t>
            </w:r>
          </w:p>
        </w:tc>
      </w:tr>
      <w:tr w:rsidR="00160081" w:rsidRPr="00160081" w14:paraId="3A6FB108" w14:textId="77777777" w:rsidTr="00BD3D91">
        <w:tc>
          <w:tcPr>
            <w:tcW w:w="2428" w:type="dxa"/>
            <w:vMerge w:val="restart"/>
            <w:vAlign w:val="center"/>
          </w:tcPr>
          <w:p w14:paraId="208E0A17" w14:textId="77777777" w:rsidR="00160081" w:rsidRPr="00160081" w:rsidRDefault="00160081" w:rsidP="00BD3D91">
            <w:pPr>
              <w:tabs>
                <w:tab w:val="left" w:pos="1418"/>
                <w:tab w:val="left" w:pos="3168"/>
              </w:tabs>
              <w:suppressAutoHyphens/>
              <w:spacing w:line="276" w:lineRule="auto"/>
              <w:rPr>
                <w:rFonts w:cstheme="minorHAnsi"/>
                <w:sz w:val="20"/>
                <w:szCs w:val="20"/>
              </w:rPr>
            </w:pPr>
            <w:r w:rsidRPr="00160081">
              <w:rPr>
                <w:rFonts w:cstheme="minorHAnsi"/>
                <w:sz w:val="20"/>
                <w:szCs w:val="20"/>
              </w:rPr>
              <w:t>Documentación técnica del proyecto acotada al SRI</w:t>
            </w:r>
          </w:p>
        </w:tc>
        <w:tc>
          <w:tcPr>
            <w:tcW w:w="6922" w:type="dxa"/>
            <w:vAlign w:val="center"/>
          </w:tcPr>
          <w:p w14:paraId="0425D52C"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 xml:space="preserve">Arquitectura de la solución tecnológica documentada. </w:t>
            </w:r>
          </w:p>
        </w:tc>
      </w:tr>
      <w:tr w:rsidR="00160081" w:rsidRPr="00160081" w14:paraId="31F6E68B" w14:textId="77777777" w:rsidTr="00BD3D91">
        <w:tc>
          <w:tcPr>
            <w:tcW w:w="2428" w:type="dxa"/>
            <w:vMerge/>
            <w:vAlign w:val="center"/>
          </w:tcPr>
          <w:p w14:paraId="69E754A6"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6AA74EDA"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 de configuración de integraciones entre herramientas.</w:t>
            </w:r>
          </w:p>
          <w:p w14:paraId="2F88E646"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 xml:space="preserve">Modelo de Datos de la solución </w:t>
            </w:r>
          </w:p>
        </w:tc>
      </w:tr>
      <w:tr w:rsidR="00160081" w:rsidRPr="00160081" w14:paraId="6C713EAF" w14:textId="77777777" w:rsidTr="00BD3D91">
        <w:tc>
          <w:tcPr>
            <w:tcW w:w="2428" w:type="dxa"/>
            <w:vMerge/>
            <w:vAlign w:val="center"/>
          </w:tcPr>
          <w:p w14:paraId="67F7378A"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121A8932" w14:textId="77777777" w:rsidR="00160081" w:rsidRPr="00160081" w:rsidRDefault="00160081" w:rsidP="00160081">
            <w:pPr>
              <w:numPr>
                <w:ilvl w:val="0"/>
                <w:numId w:val="58"/>
              </w:numPr>
              <w:spacing w:after="0" w:line="276" w:lineRule="auto"/>
              <w:ind w:left="406"/>
              <w:jc w:val="both"/>
              <w:rPr>
                <w:rFonts w:cstheme="minorHAnsi"/>
                <w:sz w:val="20"/>
                <w:szCs w:val="20"/>
              </w:rPr>
            </w:pPr>
            <w:r w:rsidRPr="00160081">
              <w:rPr>
                <w:rFonts w:cstheme="minorHAnsi"/>
                <w:sz w:val="20"/>
                <w:szCs w:val="20"/>
              </w:rPr>
              <w:t>Diccionario de datos: incluyendo documentación explicativa a nivel de tablas y campos. Se exceptúan estructuras con información de configuración propia de la herramienta.</w:t>
            </w:r>
          </w:p>
          <w:p w14:paraId="1F0DF166" w14:textId="77777777" w:rsidR="00160081" w:rsidRPr="00160081" w:rsidRDefault="00160081" w:rsidP="00160081">
            <w:pPr>
              <w:numPr>
                <w:ilvl w:val="0"/>
                <w:numId w:val="58"/>
              </w:numPr>
              <w:spacing w:after="0" w:line="276" w:lineRule="auto"/>
              <w:ind w:left="406"/>
              <w:jc w:val="both"/>
              <w:rPr>
                <w:rFonts w:cstheme="minorHAnsi"/>
                <w:sz w:val="20"/>
                <w:szCs w:val="20"/>
              </w:rPr>
            </w:pPr>
            <w:r w:rsidRPr="00160081">
              <w:rPr>
                <w:rFonts w:cstheme="minorHAnsi"/>
                <w:sz w:val="20"/>
                <w:szCs w:val="20"/>
              </w:rPr>
              <w:t>Acceso a base de conocimiento, que documente buenas prácticas para implementación de cada herramienta, errores frecuentes, manejo de logs entre otros.</w:t>
            </w:r>
          </w:p>
          <w:p w14:paraId="74F28C4D" w14:textId="77777777" w:rsidR="00160081" w:rsidRPr="00160081" w:rsidRDefault="00160081" w:rsidP="00160081">
            <w:pPr>
              <w:numPr>
                <w:ilvl w:val="0"/>
                <w:numId w:val="58"/>
              </w:numPr>
              <w:spacing w:after="0" w:line="276" w:lineRule="auto"/>
              <w:ind w:left="406"/>
              <w:jc w:val="both"/>
              <w:rPr>
                <w:rFonts w:cstheme="minorHAnsi"/>
                <w:color w:val="000000"/>
                <w:sz w:val="20"/>
                <w:szCs w:val="20"/>
                <w:lang w:eastAsia="es-EC"/>
              </w:rPr>
            </w:pPr>
            <w:r w:rsidRPr="00160081">
              <w:rPr>
                <w:rFonts w:cstheme="minorHAnsi"/>
                <w:color w:val="000000"/>
                <w:sz w:val="20"/>
                <w:szCs w:val="20"/>
                <w:lang w:eastAsia="es-EC"/>
              </w:rPr>
              <w:t>Procedimiento para administración de ambientes productivos, no productivos y de contingencia.</w:t>
            </w:r>
          </w:p>
          <w:p w14:paraId="17FD534C" w14:textId="77777777" w:rsidR="00160081" w:rsidRPr="00160081" w:rsidRDefault="00160081" w:rsidP="00160081">
            <w:pPr>
              <w:numPr>
                <w:ilvl w:val="0"/>
                <w:numId w:val="58"/>
              </w:numPr>
              <w:spacing w:after="0" w:line="276" w:lineRule="auto"/>
              <w:ind w:left="406"/>
              <w:jc w:val="both"/>
              <w:rPr>
                <w:rFonts w:cstheme="minorHAnsi"/>
                <w:sz w:val="20"/>
                <w:szCs w:val="20"/>
              </w:rPr>
            </w:pPr>
            <w:r w:rsidRPr="00160081">
              <w:rPr>
                <w:rFonts w:cstheme="minorHAnsi"/>
                <w:color w:val="000000"/>
                <w:sz w:val="20"/>
                <w:szCs w:val="20"/>
                <w:lang w:eastAsia="es-EC"/>
              </w:rPr>
              <w:t>Código fuente de los desarrollos realizados sobre la implementación de los casos de uso e integraciones y convivencias, objetos descritos en el TDR.</w:t>
            </w:r>
          </w:p>
        </w:tc>
      </w:tr>
      <w:tr w:rsidR="00160081" w:rsidRPr="00160081" w14:paraId="3B6EE365" w14:textId="77777777" w:rsidTr="00BD3D91">
        <w:tc>
          <w:tcPr>
            <w:tcW w:w="2428" w:type="dxa"/>
            <w:vMerge w:val="restart"/>
            <w:vAlign w:val="center"/>
          </w:tcPr>
          <w:p w14:paraId="4F7EA2A1" w14:textId="77777777" w:rsidR="00160081" w:rsidRPr="00160081" w:rsidRDefault="00160081" w:rsidP="00BD3D91">
            <w:pPr>
              <w:tabs>
                <w:tab w:val="left" w:pos="1418"/>
                <w:tab w:val="left" w:pos="3168"/>
              </w:tabs>
              <w:suppressAutoHyphens/>
              <w:spacing w:line="276" w:lineRule="auto"/>
              <w:rPr>
                <w:rFonts w:cstheme="minorHAnsi"/>
                <w:sz w:val="20"/>
                <w:szCs w:val="20"/>
              </w:rPr>
            </w:pPr>
            <w:r w:rsidRPr="00160081">
              <w:rPr>
                <w:rFonts w:cstheme="minorHAnsi"/>
                <w:sz w:val="20"/>
                <w:szCs w:val="20"/>
              </w:rPr>
              <w:t>Manuales</w:t>
            </w:r>
          </w:p>
        </w:tc>
        <w:tc>
          <w:tcPr>
            <w:tcW w:w="6922" w:type="dxa"/>
            <w:vAlign w:val="center"/>
          </w:tcPr>
          <w:p w14:paraId="4831D96C"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Manuales de los servicios: en base a formatos y lineamientos del SRI.</w:t>
            </w:r>
          </w:p>
        </w:tc>
      </w:tr>
      <w:tr w:rsidR="00160081" w:rsidRPr="00160081" w14:paraId="2BACFC7C" w14:textId="77777777" w:rsidTr="00BD3D91">
        <w:tc>
          <w:tcPr>
            <w:tcW w:w="2428" w:type="dxa"/>
            <w:vMerge/>
            <w:vAlign w:val="center"/>
          </w:tcPr>
          <w:p w14:paraId="28166765"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7E894F06"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 de operación, respaldo y monitoreo: en base a formatos y lineamientos del SRI.</w:t>
            </w:r>
          </w:p>
          <w:p w14:paraId="74A9A85D"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 de instalación</w:t>
            </w:r>
          </w:p>
        </w:tc>
      </w:tr>
      <w:tr w:rsidR="00160081" w:rsidRPr="00160081" w14:paraId="47FBF199" w14:textId="77777777" w:rsidTr="00BD3D91">
        <w:tc>
          <w:tcPr>
            <w:tcW w:w="2428" w:type="dxa"/>
            <w:vMerge/>
            <w:vAlign w:val="center"/>
          </w:tcPr>
          <w:p w14:paraId="265EEEE6"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22FFBCD5"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 técnico: incluyendo la arquitectura y estructura técnica de la solución.</w:t>
            </w:r>
          </w:p>
        </w:tc>
      </w:tr>
      <w:tr w:rsidR="00160081" w:rsidRPr="00160081" w14:paraId="0CE91C21" w14:textId="77777777" w:rsidTr="00BD3D91">
        <w:tc>
          <w:tcPr>
            <w:tcW w:w="2428" w:type="dxa"/>
            <w:vMerge/>
            <w:vAlign w:val="center"/>
          </w:tcPr>
          <w:p w14:paraId="27705998"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1C29DBFC"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Manuales de Usuario por Roles del Proceso (uno por rol) en base a formatos y lineamientos del SRI.</w:t>
            </w:r>
          </w:p>
        </w:tc>
      </w:tr>
      <w:tr w:rsidR="00160081" w:rsidRPr="00160081" w14:paraId="2F517589" w14:textId="77777777" w:rsidTr="00BD3D91">
        <w:tc>
          <w:tcPr>
            <w:tcW w:w="2428" w:type="dxa"/>
            <w:vMerge w:val="restart"/>
            <w:vAlign w:val="center"/>
          </w:tcPr>
          <w:p w14:paraId="65E8DFB3" w14:textId="77777777" w:rsidR="00160081" w:rsidRPr="00160081" w:rsidRDefault="00160081" w:rsidP="00BD3D91">
            <w:pPr>
              <w:tabs>
                <w:tab w:val="left" w:pos="1418"/>
                <w:tab w:val="left" w:pos="3168"/>
              </w:tabs>
              <w:suppressAutoHyphens/>
              <w:spacing w:line="276" w:lineRule="auto"/>
              <w:rPr>
                <w:rFonts w:cstheme="minorHAnsi"/>
                <w:sz w:val="20"/>
                <w:szCs w:val="20"/>
              </w:rPr>
            </w:pPr>
            <w:r w:rsidRPr="00160081">
              <w:rPr>
                <w:rFonts w:cstheme="minorHAnsi"/>
                <w:sz w:val="20"/>
                <w:szCs w:val="20"/>
              </w:rPr>
              <w:t>Transferencia de conocimiento especializada</w:t>
            </w:r>
          </w:p>
        </w:tc>
        <w:tc>
          <w:tcPr>
            <w:tcW w:w="6922" w:type="dxa"/>
            <w:vAlign w:val="center"/>
          </w:tcPr>
          <w:p w14:paraId="31DABB55"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Listas de asistencia o constancia de participación a las transferencias de conocimientos efectuadas, evaluaciones, certificados, entre otros.</w:t>
            </w:r>
          </w:p>
        </w:tc>
      </w:tr>
      <w:tr w:rsidR="00160081" w:rsidRPr="00160081" w14:paraId="0180EC67" w14:textId="77777777" w:rsidTr="00BD3D91">
        <w:tc>
          <w:tcPr>
            <w:tcW w:w="2428" w:type="dxa"/>
            <w:vMerge/>
            <w:vAlign w:val="center"/>
          </w:tcPr>
          <w:p w14:paraId="6316D173" w14:textId="77777777" w:rsidR="00160081" w:rsidRPr="00160081" w:rsidRDefault="00160081" w:rsidP="00BD3D91">
            <w:pPr>
              <w:tabs>
                <w:tab w:val="left" w:pos="1418"/>
                <w:tab w:val="left" w:pos="3168"/>
              </w:tabs>
              <w:suppressAutoHyphens/>
              <w:spacing w:line="276" w:lineRule="auto"/>
              <w:rPr>
                <w:rFonts w:cstheme="minorHAnsi"/>
                <w:sz w:val="20"/>
                <w:szCs w:val="20"/>
              </w:rPr>
            </w:pPr>
          </w:p>
        </w:tc>
        <w:tc>
          <w:tcPr>
            <w:tcW w:w="6922" w:type="dxa"/>
            <w:vAlign w:val="center"/>
          </w:tcPr>
          <w:p w14:paraId="7D6E09F5"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Presentaciones, videos de la transferencia de conocimiento especializada o de las parametrizaciones más importantes.</w:t>
            </w:r>
          </w:p>
        </w:tc>
      </w:tr>
      <w:tr w:rsidR="00160081" w:rsidRPr="00160081" w14:paraId="46848151" w14:textId="77777777" w:rsidTr="00BD3D91">
        <w:tc>
          <w:tcPr>
            <w:tcW w:w="2428" w:type="dxa"/>
            <w:vMerge/>
            <w:vAlign w:val="center"/>
          </w:tcPr>
          <w:p w14:paraId="49F9CA37" w14:textId="77777777" w:rsidR="00160081" w:rsidRPr="00160081" w:rsidRDefault="00160081" w:rsidP="00BD3D91">
            <w:pPr>
              <w:tabs>
                <w:tab w:val="left" w:pos="1418"/>
                <w:tab w:val="left" w:pos="3168"/>
              </w:tabs>
              <w:suppressAutoHyphens/>
              <w:spacing w:line="276" w:lineRule="auto"/>
              <w:ind w:left="1429"/>
              <w:rPr>
                <w:rFonts w:cstheme="minorHAnsi"/>
                <w:sz w:val="20"/>
                <w:szCs w:val="20"/>
              </w:rPr>
            </w:pPr>
          </w:p>
        </w:tc>
        <w:tc>
          <w:tcPr>
            <w:tcW w:w="6922" w:type="dxa"/>
            <w:vAlign w:val="center"/>
          </w:tcPr>
          <w:p w14:paraId="0ECF6C90" w14:textId="77777777" w:rsidR="00160081" w:rsidRPr="00160081" w:rsidRDefault="00160081" w:rsidP="00BD3D91">
            <w:pPr>
              <w:spacing w:line="276" w:lineRule="auto"/>
              <w:jc w:val="both"/>
              <w:rPr>
                <w:rFonts w:cstheme="minorHAnsi"/>
                <w:sz w:val="20"/>
                <w:szCs w:val="20"/>
              </w:rPr>
            </w:pPr>
            <w:r w:rsidRPr="00160081">
              <w:rPr>
                <w:rFonts w:cstheme="minorHAnsi"/>
                <w:sz w:val="20"/>
                <w:szCs w:val="20"/>
              </w:rPr>
              <w:t xml:space="preserve">Documentación complementaria como, por ejemplo; </w:t>
            </w:r>
            <w:proofErr w:type="spellStart"/>
            <w:r w:rsidRPr="00160081">
              <w:rPr>
                <w:rFonts w:cstheme="minorHAnsi"/>
                <w:sz w:val="20"/>
                <w:szCs w:val="20"/>
              </w:rPr>
              <w:t>papers</w:t>
            </w:r>
            <w:proofErr w:type="spellEnd"/>
            <w:r w:rsidRPr="00160081">
              <w:rPr>
                <w:rFonts w:cstheme="minorHAnsi"/>
                <w:sz w:val="20"/>
                <w:szCs w:val="20"/>
              </w:rPr>
              <w:t>, estudios de investigación, certificados, entre otros</w:t>
            </w:r>
            <w:r w:rsidRPr="00160081" w:rsidDel="00D209C5">
              <w:rPr>
                <w:rFonts w:cstheme="minorHAnsi"/>
                <w:sz w:val="20"/>
                <w:szCs w:val="20"/>
              </w:rPr>
              <w:t>.</w:t>
            </w:r>
          </w:p>
        </w:tc>
      </w:tr>
      <w:tr w:rsidR="00160081" w:rsidRPr="00160081" w14:paraId="4C1D41F3" w14:textId="77777777" w:rsidTr="00BD3D91">
        <w:tc>
          <w:tcPr>
            <w:tcW w:w="2428" w:type="dxa"/>
            <w:vAlign w:val="center"/>
          </w:tcPr>
          <w:p w14:paraId="6461D252" w14:textId="77777777" w:rsidR="00160081" w:rsidRPr="00160081" w:rsidRDefault="00160081" w:rsidP="00BD3D91">
            <w:pPr>
              <w:tabs>
                <w:tab w:val="left" w:pos="1418"/>
                <w:tab w:val="left" w:pos="3168"/>
              </w:tabs>
              <w:suppressAutoHyphens/>
              <w:spacing w:line="276" w:lineRule="auto"/>
              <w:rPr>
                <w:rFonts w:cstheme="minorHAnsi"/>
                <w:sz w:val="20"/>
                <w:szCs w:val="20"/>
              </w:rPr>
            </w:pPr>
            <w:r w:rsidRPr="00160081">
              <w:rPr>
                <w:rFonts w:cstheme="minorHAnsi"/>
                <w:sz w:val="20"/>
                <w:szCs w:val="20"/>
              </w:rPr>
              <w:t>Pruebas</w:t>
            </w:r>
          </w:p>
        </w:tc>
        <w:tc>
          <w:tcPr>
            <w:tcW w:w="6922" w:type="dxa"/>
            <w:vAlign w:val="center"/>
          </w:tcPr>
          <w:p w14:paraId="17CE8216"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De acuerdo con los formatos entregados por el SRI, como habilitante para iniciar el proceso de pruebas sobre los desarrollos que realice se debe presentar los siguientes documentos:</w:t>
            </w:r>
          </w:p>
          <w:p w14:paraId="686147DA" w14:textId="77777777" w:rsidR="00160081" w:rsidRPr="00160081" w:rsidRDefault="00160081" w:rsidP="00160081">
            <w:pPr>
              <w:numPr>
                <w:ilvl w:val="0"/>
                <w:numId w:val="58"/>
              </w:numPr>
              <w:spacing w:after="0" w:line="276" w:lineRule="auto"/>
              <w:ind w:left="406"/>
              <w:jc w:val="both"/>
              <w:rPr>
                <w:rFonts w:cstheme="minorHAnsi"/>
                <w:color w:val="000000"/>
                <w:sz w:val="20"/>
                <w:szCs w:val="20"/>
                <w:lang w:eastAsia="es-EC"/>
              </w:rPr>
            </w:pPr>
            <w:r w:rsidRPr="00160081">
              <w:rPr>
                <w:rFonts w:cstheme="minorHAnsi"/>
                <w:color w:val="000000"/>
                <w:sz w:val="20"/>
                <w:szCs w:val="20"/>
                <w:lang w:eastAsia="es-EC"/>
              </w:rPr>
              <w:t xml:space="preserve">Plan de pruebas </w:t>
            </w:r>
          </w:p>
          <w:p w14:paraId="770E696F" w14:textId="77777777" w:rsidR="00160081" w:rsidRPr="00160081" w:rsidRDefault="00160081" w:rsidP="00160081">
            <w:pPr>
              <w:numPr>
                <w:ilvl w:val="0"/>
                <w:numId w:val="58"/>
              </w:numPr>
              <w:spacing w:after="0" w:line="276" w:lineRule="auto"/>
              <w:ind w:left="406"/>
              <w:jc w:val="both"/>
              <w:rPr>
                <w:rFonts w:cstheme="minorHAnsi"/>
                <w:color w:val="000000"/>
                <w:sz w:val="20"/>
                <w:szCs w:val="20"/>
                <w:lang w:eastAsia="es-EC"/>
              </w:rPr>
            </w:pPr>
            <w:r w:rsidRPr="00160081">
              <w:rPr>
                <w:rFonts w:cstheme="minorHAnsi"/>
                <w:color w:val="000000"/>
                <w:sz w:val="20"/>
                <w:szCs w:val="20"/>
                <w:lang w:eastAsia="es-EC"/>
              </w:rPr>
              <w:t>Informe de pruebas</w:t>
            </w:r>
          </w:p>
          <w:p w14:paraId="7EEFAF19" w14:textId="77777777" w:rsidR="00160081" w:rsidRPr="00160081" w:rsidRDefault="00160081" w:rsidP="00160081">
            <w:pPr>
              <w:numPr>
                <w:ilvl w:val="0"/>
                <w:numId w:val="58"/>
              </w:numPr>
              <w:spacing w:after="0" w:line="276" w:lineRule="auto"/>
              <w:ind w:left="406"/>
              <w:jc w:val="both"/>
              <w:rPr>
                <w:rFonts w:cstheme="minorHAnsi"/>
                <w:color w:val="000000"/>
                <w:sz w:val="20"/>
                <w:szCs w:val="20"/>
                <w:lang w:eastAsia="es-EC"/>
              </w:rPr>
            </w:pPr>
            <w:r w:rsidRPr="00160081">
              <w:rPr>
                <w:rFonts w:cstheme="minorHAnsi"/>
                <w:color w:val="000000"/>
                <w:sz w:val="20"/>
                <w:szCs w:val="20"/>
                <w:lang w:eastAsia="es-EC"/>
              </w:rPr>
              <w:t>Plan de instalación, configuración, respaldos, operación y reverso.</w:t>
            </w:r>
          </w:p>
        </w:tc>
      </w:tr>
    </w:tbl>
    <w:p w14:paraId="1977E876" w14:textId="77777777" w:rsidR="00160081" w:rsidRPr="00160081" w:rsidRDefault="00160081" w:rsidP="00160081">
      <w:pPr>
        <w:ind w:left="720"/>
        <w:outlineLvl w:val="0"/>
        <w:rPr>
          <w:rFonts w:cstheme="minorHAnsi"/>
          <w:b/>
          <w:bCs/>
          <w:kern w:val="36"/>
          <w:sz w:val="20"/>
          <w:szCs w:val="20"/>
        </w:rPr>
      </w:pPr>
    </w:p>
    <w:p w14:paraId="281DC0E6" w14:textId="77777777" w:rsidR="00160081" w:rsidRPr="00160081" w:rsidRDefault="00160081" w:rsidP="00160081">
      <w:pPr>
        <w:pStyle w:val="Ttulo2"/>
        <w:numPr>
          <w:ilvl w:val="0"/>
          <w:numId w:val="132"/>
        </w:numPr>
        <w:tabs>
          <w:tab w:val="num" w:pos="720"/>
        </w:tabs>
        <w:ind w:left="1080"/>
        <w:rPr>
          <w:rFonts w:asciiTheme="minorHAnsi" w:eastAsia="Times New Roman" w:hAnsiTheme="minorHAnsi" w:cstheme="minorHAnsi"/>
          <w:b/>
          <w:bCs/>
          <w:color w:val="auto"/>
          <w:sz w:val="20"/>
          <w:szCs w:val="20"/>
        </w:rPr>
      </w:pPr>
      <w:bookmarkStart w:id="52" w:name="_Toc217326207"/>
      <w:r w:rsidRPr="00160081">
        <w:rPr>
          <w:rFonts w:asciiTheme="minorHAnsi" w:eastAsia="Times New Roman" w:hAnsiTheme="minorHAnsi" w:cstheme="minorHAnsi"/>
          <w:b/>
          <w:bCs/>
          <w:color w:val="auto"/>
          <w:sz w:val="20"/>
          <w:szCs w:val="20"/>
        </w:rPr>
        <w:t>Bienes requeridos</w:t>
      </w:r>
      <w:bookmarkEnd w:id="52"/>
    </w:p>
    <w:p w14:paraId="187DFCB7" w14:textId="77777777" w:rsidR="00160081" w:rsidRPr="00160081" w:rsidRDefault="00160081" w:rsidP="00160081">
      <w:pPr>
        <w:ind w:left="720"/>
        <w:jc w:val="both"/>
        <w:rPr>
          <w:rFonts w:cstheme="minorHAnsi"/>
          <w:kern w:val="36"/>
          <w:sz w:val="20"/>
          <w:szCs w:val="20"/>
        </w:rPr>
      </w:pPr>
    </w:p>
    <w:p w14:paraId="3454C50F"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53" w:name="_Toc217326209"/>
      <w:bookmarkStart w:id="54" w:name="_Toc216114231"/>
      <w:r w:rsidRPr="00160081">
        <w:rPr>
          <w:rFonts w:asciiTheme="minorHAnsi" w:eastAsia="Times New Roman" w:hAnsiTheme="minorHAnsi" w:cstheme="minorHAnsi"/>
          <w:b/>
          <w:bCs/>
          <w:color w:val="000000" w:themeColor="text1"/>
          <w:sz w:val="20"/>
          <w:szCs w:val="20"/>
        </w:rPr>
        <w:t>6.1 Requerimientos funcionales de los componentes principales</w:t>
      </w:r>
      <w:bookmarkEnd w:id="53"/>
    </w:p>
    <w:bookmarkEnd w:id="54"/>
    <w:p w14:paraId="33189C5A" w14:textId="77777777" w:rsidR="00160081" w:rsidRPr="00160081" w:rsidRDefault="00160081" w:rsidP="00160081">
      <w:pPr>
        <w:ind w:left="720"/>
        <w:jc w:val="both"/>
        <w:rPr>
          <w:rFonts w:cstheme="minorHAnsi"/>
          <w:sz w:val="20"/>
          <w:szCs w:val="20"/>
        </w:rPr>
      </w:pPr>
    </w:p>
    <w:p w14:paraId="5233029C" w14:textId="77777777" w:rsidR="00160081" w:rsidRPr="00160081" w:rsidRDefault="00160081" w:rsidP="00160081">
      <w:pPr>
        <w:ind w:left="720"/>
        <w:jc w:val="both"/>
        <w:rPr>
          <w:rFonts w:cstheme="minorHAnsi"/>
          <w:sz w:val="20"/>
          <w:szCs w:val="20"/>
        </w:rPr>
      </w:pPr>
      <w:r w:rsidRPr="00160081">
        <w:rPr>
          <w:rFonts w:cstheme="minorHAnsi"/>
          <w:sz w:val="20"/>
          <w:szCs w:val="20"/>
        </w:rPr>
        <w:t>Los requerimientos funcionales establecidos para cada componente principal de la suite tecnológica integral definen las capacidades mínimas, importantes y deseables que la solución deberá ofrecer para garantizar su adecuada operación en los proyectos definidos por el SRI y de conformidad con la siguiente arquitectura:</w:t>
      </w:r>
    </w:p>
    <w:p w14:paraId="083E1956" w14:textId="77777777" w:rsidR="00160081" w:rsidRPr="00160081" w:rsidRDefault="00160081" w:rsidP="00160081">
      <w:pPr>
        <w:ind w:left="720"/>
        <w:jc w:val="both"/>
        <w:rPr>
          <w:rFonts w:cstheme="minorHAnsi"/>
          <w:kern w:val="36"/>
          <w:sz w:val="20"/>
          <w:szCs w:val="20"/>
        </w:rPr>
      </w:pPr>
      <w:r w:rsidRPr="00160081">
        <w:rPr>
          <w:rFonts w:cstheme="minorHAnsi"/>
          <w:kern w:val="36"/>
          <w:sz w:val="20"/>
          <w:szCs w:val="20"/>
        </w:rPr>
        <w:t>Cada requerimiento se presenta de manera estructurada, identificando su categoría de necesidad y describiendo con precisión la funcionalidad esperada, con el fin de asegurar que la plataforma soporte los volúmenes operativos institucionales, permita la reutilización de componentes, facilite la integración con sistemas existentes y mantenga altos estándares de trazabilidad, control y eficiencia.</w:t>
      </w:r>
    </w:p>
    <w:p w14:paraId="363F56EA" w14:textId="77777777" w:rsidR="00160081" w:rsidRPr="00160081" w:rsidRDefault="00160081" w:rsidP="00160081">
      <w:pPr>
        <w:ind w:left="720"/>
        <w:jc w:val="both"/>
        <w:rPr>
          <w:rFonts w:cstheme="minorHAnsi"/>
          <w:kern w:val="36"/>
          <w:sz w:val="20"/>
          <w:szCs w:val="20"/>
        </w:rPr>
      </w:pPr>
      <w:r w:rsidRPr="00160081">
        <w:rPr>
          <w:rFonts w:cstheme="minorHAnsi"/>
          <w:kern w:val="36"/>
          <w:sz w:val="20"/>
          <w:szCs w:val="20"/>
        </w:rPr>
        <w:t>Se entenderá, además, que la solución podrá incorporar los componentes transversales, servicios de integración, conectores, módulos complementarios y capacidades técnicas necesarias para asegurar su funcionamiento integral, aun cuando estos no se detallen explícitamente en cada requerimiento funcional. Esta estructura permitirá evaluar de forma objetiva el cumplimiento de la solución propuesta durante el proceso de selección y su pertinencia frente a las necesidades institucionales.</w:t>
      </w:r>
    </w:p>
    <w:p w14:paraId="1D1F57C8" w14:textId="77777777" w:rsidR="00160081" w:rsidRPr="00160081" w:rsidRDefault="00160081" w:rsidP="00160081">
      <w:pPr>
        <w:suppressAutoHyphens/>
        <w:ind w:left="720"/>
        <w:rPr>
          <w:rFonts w:cstheme="minorHAnsi"/>
          <w:b/>
          <w:bCs/>
          <w:sz w:val="20"/>
          <w:szCs w:val="20"/>
        </w:rPr>
      </w:pPr>
      <w:r w:rsidRPr="00160081">
        <w:rPr>
          <w:rFonts w:cstheme="minorHAnsi"/>
          <w:b/>
          <w:bCs/>
          <w:sz w:val="20"/>
          <w:szCs w:val="20"/>
        </w:rPr>
        <w:t>6.1.1. Componente BPMS:</w:t>
      </w:r>
    </w:p>
    <w:tbl>
      <w:tblPr>
        <w:tblW w:w="10165" w:type="dxa"/>
        <w:tblInd w:w="-861" w:type="dxa"/>
        <w:tblCellMar>
          <w:left w:w="70" w:type="dxa"/>
          <w:right w:w="70" w:type="dxa"/>
        </w:tblCellMar>
        <w:tblLook w:val="04A0" w:firstRow="1" w:lastRow="0" w:firstColumn="1" w:lastColumn="0" w:noHBand="0" w:noVBand="1"/>
      </w:tblPr>
      <w:tblGrid>
        <w:gridCol w:w="647"/>
        <w:gridCol w:w="6867"/>
        <w:gridCol w:w="1077"/>
        <w:gridCol w:w="1574"/>
      </w:tblGrid>
      <w:tr w:rsidR="00160081" w:rsidRPr="00160081" w14:paraId="30015D78" w14:textId="77777777" w:rsidTr="00CA02A6">
        <w:trPr>
          <w:trHeight w:val="300"/>
          <w:tblHeader/>
        </w:trPr>
        <w:tc>
          <w:tcPr>
            <w:tcW w:w="0" w:type="auto"/>
            <w:tcBorders>
              <w:top w:val="single" w:sz="8" w:space="0" w:color="auto"/>
              <w:left w:val="single" w:sz="8" w:space="0" w:color="auto"/>
              <w:bottom w:val="single" w:sz="8" w:space="0" w:color="auto"/>
              <w:right w:val="single" w:sz="4" w:space="0" w:color="auto"/>
            </w:tcBorders>
            <w:vAlign w:val="center"/>
            <w:hideMark/>
          </w:tcPr>
          <w:p w14:paraId="3B40DA6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w:t>
            </w:r>
          </w:p>
        </w:tc>
        <w:tc>
          <w:tcPr>
            <w:tcW w:w="7944" w:type="dxa"/>
            <w:gridSpan w:val="2"/>
            <w:tcBorders>
              <w:top w:val="single" w:sz="8" w:space="0" w:color="auto"/>
              <w:left w:val="nil"/>
              <w:bottom w:val="single" w:sz="8" w:space="0" w:color="auto"/>
              <w:right w:val="single" w:sz="8" w:space="0" w:color="auto"/>
            </w:tcBorders>
            <w:vAlign w:val="center"/>
            <w:hideMark/>
          </w:tcPr>
          <w:p w14:paraId="4206B60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REQUERIMIENTOS FUNCIONALES BPMS</w:t>
            </w:r>
          </w:p>
        </w:tc>
        <w:tc>
          <w:tcPr>
            <w:tcW w:w="0" w:type="auto"/>
            <w:tcBorders>
              <w:top w:val="single" w:sz="8" w:space="0" w:color="auto"/>
              <w:left w:val="nil"/>
              <w:bottom w:val="single" w:sz="8" w:space="0" w:color="auto"/>
              <w:right w:val="single" w:sz="8" w:space="0" w:color="000000"/>
            </w:tcBorders>
            <w:vAlign w:val="center"/>
            <w:hideMark/>
          </w:tcPr>
          <w:p w14:paraId="1682B90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w:t>
            </w:r>
          </w:p>
        </w:tc>
      </w:tr>
      <w:tr w:rsidR="00160081" w:rsidRPr="00160081" w14:paraId="0D6CCA37" w14:textId="77777777" w:rsidTr="00CA02A6">
        <w:trPr>
          <w:trHeight w:val="525"/>
        </w:trPr>
        <w:tc>
          <w:tcPr>
            <w:tcW w:w="0" w:type="auto"/>
            <w:tcBorders>
              <w:top w:val="nil"/>
              <w:left w:val="single" w:sz="8" w:space="0" w:color="auto"/>
              <w:bottom w:val="single" w:sz="8" w:space="0" w:color="auto"/>
              <w:right w:val="single" w:sz="4" w:space="0" w:color="auto"/>
            </w:tcBorders>
            <w:vAlign w:val="center"/>
            <w:hideMark/>
          </w:tcPr>
          <w:p w14:paraId="3F6B9E3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w:t>
            </w:r>
          </w:p>
        </w:tc>
        <w:tc>
          <w:tcPr>
            <w:tcW w:w="6867" w:type="dxa"/>
            <w:tcBorders>
              <w:top w:val="nil"/>
              <w:left w:val="nil"/>
              <w:bottom w:val="single" w:sz="8" w:space="0" w:color="auto"/>
              <w:right w:val="single" w:sz="8" w:space="0" w:color="auto"/>
            </w:tcBorders>
            <w:vAlign w:val="center"/>
            <w:hideMark/>
          </w:tcPr>
          <w:p w14:paraId="1EA13A6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COMPONENTE QUE PERMITA LA EJECUCIÓN DE LOS PROCESOS</w:t>
            </w:r>
          </w:p>
        </w:tc>
        <w:tc>
          <w:tcPr>
            <w:tcW w:w="0" w:type="auto"/>
            <w:tcBorders>
              <w:top w:val="nil"/>
              <w:left w:val="nil"/>
              <w:bottom w:val="single" w:sz="8" w:space="0" w:color="auto"/>
              <w:right w:val="single" w:sz="4" w:space="0" w:color="auto"/>
            </w:tcBorders>
            <w:vAlign w:val="center"/>
            <w:hideMark/>
          </w:tcPr>
          <w:p w14:paraId="2A49A75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8" w:space="0" w:color="auto"/>
              <w:right w:val="single" w:sz="8" w:space="0" w:color="auto"/>
            </w:tcBorders>
            <w:vAlign w:val="center"/>
            <w:hideMark/>
          </w:tcPr>
          <w:p w14:paraId="66A61B2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792E337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1965D0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w:t>
            </w:r>
          </w:p>
        </w:tc>
        <w:tc>
          <w:tcPr>
            <w:tcW w:w="6867" w:type="dxa"/>
            <w:tcBorders>
              <w:top w:val="nil"/>
              <w:left w:val="nil"/>
              <w:bottom w:val="single" w:sz="4" w:space="0" w:color="auto"/>
              <w:right w:val="single" w:sz="8" w:space="0" w:color="auto"/>
            </w:tcBorders>
            <w:vAlign w:val="center"/>
            <w:hideMark/>
          </w:tcPr>
          <w:p w14:paraId="207C70A0"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de procesos en ambiente productivo con capacidad de al menos 150 mil instancias diarias.</w:t>
            </w:r>
          </w:p>
        </w:tc>
        <w:tc>
          <w:tcPr>
            <w:tcW w:w="0" w:type="auto"/>
            <w:tcBorders>
              <w:top w:val="nil"/>
              <w:left w:val="nil"/>
              <w:bottom w:val="single" w:sz="4" w:space="0" w:color="auto"/>
              <w:right w:val="single" w:sz="4" w:space="0" w:color="auto"/>
            </w:tcBorders>
            <w:vAlign w:val="center"/>
            <w:hideMark/>
          </w:tcPr>
          <w:p w14:paraId="60F966B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5AE75ED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39ED41A"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7C7898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w:t>
            </w:r>
          </w:p>
        </w:tc>
        <w:tc>
          <w:tcPr>
            <w:tcW w:w="6867" w:type="dxa"/>
            <w:tcBorders>
              <w:top w:val="nil"/>
              <w:left w:val="nil"/>
              <w:bottom w:val="single" w:sz="4" w:space="0" w:color="auto"/>
              <w:right w:val="single" w:sz="8" w:space="0" w:color="auto"/>
            </w:tcBorders>
            <w:vAlign w:val="center"/>
            <w:hideMark/>
          </w:tcPr>
          <w:p w14:paraId="39795298"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mediante reutilización de subprocesos, reglas de negocio, formularios e integraciones (conectores dentro de la aplicación).</w:t>
            </w:r>
          </w:p>
        </w:tc>
        <w:tc>
          <w:tcPr>
            <w:tcW w:w="0" w:type="auto"/>
            <w:tcBorders>
              <w:top w:val="nil"/>
              <w:left w:val="nil"/>
              <w:bottom w:val="single" w:sz="4" w:space="0" w:color="auto"/>
              <w:right w:val="single" w:sz="4" w:space="0" w:color="auto"/>
            </w:tcBorders>
            <w:vAlign w:val="center"/>
            <w:hideMark/>
          </w:tcPr>
          <w:p w14:paraId="7E6256F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DAF92C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888B58B"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2F3BD44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1.3</w:t>
            </w:r>
          </w:p>
        </w:tc>
        <w:tc>
          <w:tcPr>
            <w:tcW w:w="6867" w:type="dxa"/>
            <w:tcBorders>
              <w:top w:val="nil"/>
              <w:left w:val="nil"/>
              <w:bottom w:val="single" w:sz="4" w:space="0" w:color="auto"/>
              <w:right w:val="single" w:sz="8" w:space="0" w:color="auto"/>
            </w:tcBorders>
            <w:vAlign w:val="center"/>
            <w:hideMark/>
          </w:tcPr>
          <w:p w14:paraId="254C1BF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Generación de alertas de vencimiento de tareas y soportar notificaciones </w:t>
            </w:r>
            <w:proofErr w:type="spellStart"/>
            <w:r w:rsidRPr="00160081">
              <w:rPr>
                <w:rFonts w:cstheme="minorHAnsi"/>
                <w:color w:val="000000"/>
                <w:sz w:val="20"/>
                <w:szCs w:val="20"/>
              </w:rPr>
              <w:t>multi-canal</w:t>
            </w:r>
            <w:proofErr w:type="spellEnd"/>
            <w:r w:rsidRPr="00160081">
              <w:rPr>
                <w:rFonts w:cstheme="minorHAnsi"/>
                <w:color w:val="000000"/>
                <w:sz w:val="20"/>
                <w:szCs w:val="20"/>
              </w:rPr>
              <w:t xml:space="preserve"> (correo, SMS, </w:t>
            </w:r>
            <w:proofErr w:type="spellStart"/>
            <w:r w:rsidRPr="00160081">
              <w:rPr>
                <w:rFonts w:cstheme="minorHAnsi"/>
                <w:color w:val="000000"/>
                <w:sz w:val="20"/>
                <w:szCs w:val="20"/>
              </w:rPr>
              <w:t>push</w:t>
            </w:r>
            <w:proofErr w:type="spellEnd"/>
            <w:r w:rsidRPr="00160081">
              <w:rPr>
                <w:rFonts w:cstheme="minorHAnsi"/>
                <w:color w:val="000000"/>
                <w:sz w:val="20"/>
                <w:szCs w:val="20"/>
              </w:rPr>
              <w:t>) con plantillas parametrizables y reglas de prioridad</w:t>
            </w:r>
          </w:p>
        </w:tc>
        <w:tc>
          <w:tcPr>
            <w:tcW w:w="0" w:type="auto"/>
            <w:tcBorders>
              <w:top w:val="nil"/>
              <w:left w:val="nil"/>
              <w:bottom w:val="single" w:sz="4" w:space="0" w:color="auto"/>
              <w:right w:val="single" w:sz="4" w:space="0" w:color="auto"/>
            </w:tcBorders>
            <w:vAlign w:val="center"/>
            <w:hideMark/>
          </w:tcPr>
          <w:p w14:paraId="73DA6B1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D4C05D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96FCFA3"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FA93DF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1.4</w:t>
            </w:r>
          </w:p>
        </w:tc>
        <w:tc>
          <w:tcPr>
            <w:tcW w:w="6867" w:type="dxa"/>
            <w:tcBorders>
              <w:top w:val="nil"/>
              <w:left w:val="nil"/>
              <w:bottom w:val="single" w:sz="4" w:space="0" w:color="auto"/>
              <w:right w:val="single" w:sz="8" w:space="0" w:color="auto"/>
            </w:tcBorders>
            <w:vAlign w:val="center"/>
            <w:hideMark/>
          </w:tcPr>
          <w:p w14:paraId="1ABABD24"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Permita el reintento de ejecución.</w:t>
            </w:r>
          </w:p>
        </w:tc>
        <w:tc>
          <w:tcPr>
            <w:tcW w:w="0" w:type="auto"/>
            <w:tcBorders>
              <w:top w:val="nil"/>
              <w:left w:val="nil"/>
              <w:bottom w:val="single" w:sz="4" w:space="0" w:color="auto"/>
              <w:right w:val="single" w:sz="4" w:space="0" w:color="auto"/>
            </w:tcBorders>
            <w:vAlign w:val="center"/>
            <w:hideMark/>
          </w:tcPr>
          <w:p w14:paraId="08F6DF8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1EA028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B4912D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17D447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1.5</w:t>
            </w:r>
          </w:p>
        </w:tc>
        <w:tc>
          <w:tcPr>
            <w:tcW w:w="6867" w:type="dxa"/>
            <w:tcBorders>
              <w:top w:val="nil"/>
              <w:left w:val="nil"/>
              <w:bottom w:val="single" w:sz="4" w:space="0" w:color="auto"/>
              <w:right w:val="single" w:sz="8" w:space="0" w:color="auto"/>
            </w:tcBorders>
            <w:vAlign w:val="center"/>
            <w:hideMark/>
          </w:tcPr>
          <w:p w14:paraId="5DB91038"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Permita suspensión de instancias.</w:t>
            </w:r>
          </w:p>
        </w:tc>
        <w:tc>
          <w:tcPr>
            <w:tcW w:w="0" w:type="auto"/>
            <w:tcBorders>
              <w:top w:val="nil"/>
              <w:left w:val="nil"/>
              <w:bottom w:val="single" w:sz="4" w:space="0" w:color="auto"/>
              <w:right w:val="single" w:sz="4" w:space="0" w:color="auto"/>
            </w:tcBorders>
            <w:vAlign w:val="center"/>
            <w:hideMark/>
          </w:tcPr>
          <w:p w14:paraId="1FB0145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410A180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78DFC1B"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D63DE4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1.6</w:t>
            </w:r>
          </w:p>
        </w:tc>
        <w:tc>
          <w:tcPr>
            <w:tcW w:w="6867" w:type="dxa"/>
            <w:tcBorders>
              <w:top w:val="nil"/>
              <w:left w:val="nil"/>
              <w:bottom w:val="single" w:sz="4" w:space="0" w:color="auto"/>
              <w:right w:val="single" w:sz="8" w:space="0" w:color="auto"/>
            </w:tcBorders>
            <w:vAlign w:val="center"/>
            <w:hideMark/>
          </w:tcPr>
          <w:p w14:paraId="7B540BE8"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Permita la cancelación de instancias.</w:t>
            </w:r>
          </w:p>
        </w:tc>
        <w:tc>
          <w:tcPr>
            <w:tcW w:w="0" w:type="auto"/>
            <w:tcBorders>
              <w:top w:val="nil"/>
              <w:left w:val="nil"/>
              <w:bottom w:val="single" w:sz="4" w:space="0" w:color="auto"/>
              <w:right w:val="single" w:sz="4" w:space="0" w:color="auto"/>
            </w:tcBorders>
            <w:vAlign w:val="center"/>
            <w:hideMark/>
          </w:tcPr>
          <w:p w14:paraId="6259BEB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7F5461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FC9FFA7"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6D0D49E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1.7</w:t>
            </w:r>
          </w:p>
        </w:tc>
        <w:tc>
          <w:tcPr>
            <w:tcW w:w="6867" w:type="dxa"/>
            <w:tcBorders>
              <w:top w:val="nil"/>
              <w:left w:val="nil"/>
              <w:bottom w:val="single" w:sz="4" w:space="0" w:color="auto"/>
              <w:right w:val="single" w:sz="8" w:space="0" w:color="auto"/>
            </w:tcBorders>
            <w:vAlign w:val="center"/>
            <w:hideMark/>
          </w:tcPr>
          <w:p w14:paraId="31DA4385"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Permita el reverso de actividades.</w:t>
            </w:r>
          </w:p>
        </w:tc>
        <w:tc>
          <w:tcPr>
            <w:tcW w:w="0" w:type="auto"/>
            <w:tcBorders>
              <w:top w:val="nil"/>
              <w:left w:val="nil"/>
              <w:bottom w:val="single" w:sz="4" w:space="0" w:color="auto"/>
              <w:right w:val="single" w:sz="4" w:space="0" w:color="auto"/>
            </w:tcBorders>
            <w:vAlign w:val="center"/>
            <w:hideMark/>
          </w:tcPr>
          <w:p w14:paraId="1D5D1C2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80E186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0BE0ED7"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3618F4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1.8</w:t>
            </w:r>
          </w:p>
        </w:tc>
        <w:tc>
          <w:tcPr>
            <w:tcW w:w="6867" w:type="dxa"/>
            <w:tcBorders>
              <w:top w:val="nil"/>
              <w:left w:val="nil"/>
              <w:bottom w:val="single" w:sz="4" w:space="0" w:color="auto"/>
              <w:right w:val="single" w:sz="8" w:space="0" w:color="auto"/>
            </w:tcBorders>
            <w:vAlign w:val="center"/>
            <w:hideMark/>
          </w:tcPr>
          <w:p w14:paraId="40C22F98" w14:textId="77777777" w:rsidR="00160081" w:rsidRPr="00160081" w:rsidRDefault="00160081" w:rsidP="00BD3D91">
            <w:pPr>
              <w:rPr>
                <w:rFonts w:cstheme="minorHAnsi"/>
                <w:color w:val="000000"/>
                <w:sz w:val="20"/>
                <w:szCs w:val="20"/>
              </w:rPr>
            </w:pPr>
            <w:r w:rsidRPr="00160081">
              <w:rPr>
                <w:rFonts w:cstheme="minorHAnsi"/>
                <w:color w:val="000000"/>
                <w:sz w:val="20"/>
                <w:szCs w:val="20"/>
              </w:rPr>
              <w:t>Implementación de nuevas versiones de flujos sin afectar a instancias iniciadas en antiguas.</w:t>
            </w:r>
          </w:p>
        </w:tc>
        <w:tc>
          <w:tcPr>
            <w:tcW w:w="0" w:type="auto"/>
            <w:tcBorders>
              <w:top w:val="nil"/>
              <w:left w:val="nil"/>
              <w:bottom w:val="single" w:sz="4" w:space="0" w:color="auto"/>
              <w:right w:val="single" w:sz="4" w:space="0" w:color="auto"/>
            </w:tcBorders>
            <w:vAlign w:val="center"/>
            <w:hideMark/>
          </w:tcPr>
          <w:p w14:paraId="74A8B8C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7C58CF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B1964B3"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564C148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1.9</w:t>
            </w:r>
          </w:p>
        </w:tc>
        <w:tc>
          <w:tcPr>
            <w:tcW w:w="6867" w:type="dxa"/>
            <w:tcBorders>
              <w:top w:val="nil"/>
              <w:left w:val="nil"/>
              <w:bottom w:val="single" w:sz="4" w:space="0" w:color="auto"/>
              <w:right w:val="single" w:sz="8" w:space="0" w:color="auto"/>
            </w:tcBorders>
            <w:vAlign w:val="center"/>
            <w:hideMark/>
          </w:tcPr>
          <w:p w14:paraId="3FBCC2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Diseñador nativo de formularios de forma gráfica (drag a </w:t>
            </w:r>
            <w:proofErr w:type="spellStart"/>
            <w:r w:rsidRPr="00160081">
              <w:rPr>
                <w:rFonts w:cstheme="minorHAnsi"/>
                <w:color w:val="000000"/>
                <w:sz w:val="20"/>
                <w:szCs w:val="20"/>
              </w:rPr>
              <w:t>drop</w:t>
            </w:r>
            <w:proofErr w:type="spellEnd"/>
            <w:r w:rsidRPr="00160081">
              <w:rPr>
                <w:rFonts w:cstheme="minorHAnsi"/>
                <w:color w:val="000000"/>
                <w:sz w:val="20"/>
                <w:szCs w:val="20"/>
              </w:rPr>
              <w:t>), sin necesidad de programar "</w:t>
            </w:r>
            <w:proofErr w:type="spellStart"/>
            <w:r w:rsidRPr="00160081">
              <w:rPr>
                <w:rFonts w:cstheme="minorHAnsi"/>
                <w:color w:val="000000"/>
                <w:sz w:val="20"/>
                <w:szCs w:val="20"/>
              </w:rPr>
              <w:t>low</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code</w:t>
            </w:r>
            <w:proofErr w:type="spellEnd"/>
            <w:r w:rsidRPr="00160081">
              <w:rPr>
                <w:rFonts w:cstheme="minorHAnsi"/>
                <w:color w:val="000000"/>
                <w:sz w:val="20"/>
                <w:szCs w:val="20"/>
              </w:rPr>
              <w:t xml:space="preserve">", que permita programar funcionalidad en el formulario cuando se requiera, tomar información de otros sistemas mediante </w:t>
            </w:r>
            <w:proofErr w:type="spellStart"/>
            <w:r w:rsidRPr="00160081">
              <w:rPr>
                <w:rFonts w:cstheme="minorHAnsi"/>
                <w:color w:val="000000"/>
                <w:sz w:val="20"/>
                <w:szCs w:val="20"/>
              </w:rPr>
              <w:t>APIs</w:t>
            </w:r>
            <w:proofErr w:type="spellEnd"/>
            <w:r w:rsidRPr="00160081">
              <w:rPr>
                <w:rFonts w:cstheme="minorHAnsi"/>
                <w:color w:val="000000"/>
                <w:sz w:val="20"/>
                <w:szCs w:val="20"/>
              </w:rPr>
              <w:t xml:space="preserve"> y otros mecanismos e insertar imágenes.</w:t>
            </w:r>
          </w:p>
        </w:tc>
        <w:tc>
          <w:tcPr>
            <w:tcW w:w="0" w:type="auto"/>
            <w:tcBorders>
              <w:top w:val="nil"/>
              <w:left w:val="nil"/>
              <w:bottom w:val="single" w:sz="4" w:space="0" w:color="auto"/>
              <w:right w:val="single" w:sz="4" w:space="0" w:color="auto"/>
            </w:tcBorders>
            <w:vAlign w:val="center"/>
            <w:hideMark/>
          </w:tcPr>
          <w:p w14:paraId="476E723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31FEEC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08BA6B5"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0838F74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1.10</w:t>
            </w:r>
          </w:p>
        </w:tc>
        <w:tc>
          <w:tcPr>
            <w:tcW w:w="6867" w:type="dxa"/>
            <w:tcBorders>
              <w:top w:val="nil"/>
              <w:left w:val="nil"/>
              <w:bottom w:val="single" w:sz="4" w:space="0" w:color="auto"/>
              <w:right w:val="single" w:sz="8" w:space="0" w:color="auto"/>
            </w:tcBorders>
            <w:vAlign w:val="center"/>
            <w:hideMark/>
          </w:tcPr>
          <w:p w14:paraId="0C7326E1"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motor BPM deberá incluir un generador de formularios y pantallas dinámicas basado en metadatos, permitiendo versionado, reutilización y despliegue sin programación.</w:t>
            </w:r>
          </w:p>
        </w:tc>
        <w:tc>
          <w:tcPr>
            <w:tcW w:w="0" w:type="auto"/>
            <w:tcBorders>
              <w:top w:val="nil"/>
              <w:left w:val="nil"/>
              <w:bottom w:val="single" w:sz="4" w:space="0" w:color="auto"/>
              <w:right w:val="single" w:sz="4" w:space="0" w:color="auto"/>
            </w:tcBorders>
            <w:vAlign w:val="center"/>
            <w:hideMark/>
          </w:tcPr>
          <w:p w14:paraId="38A72F2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00C995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3337433F"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1887568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1.11</w:t>
            </w:r>
          </w:p>
        </w:tc>
        <w:tc>
          <w:tcPr>
            <w:tcW w:w="6867" w:type="dxa"/>
            <w:tcBorders>
              <w:top w:val="nil"/>
              <w:left w:val="nil"/>
              <w:bottom w:val="single" w:sz="4" w:space="0" w:color="auto"/>
              <w:right w:val="single" w:sz="8" w:space="0" w:color="auto"/>
            </w:tcBorders>
            <w:vAlign w:val="center"/>
            <w:hideMark/>
          </w:tcPr>
          <w:p w14:paraId="1B0E759F" w14:textId="77777777" w:rsidR="00160081" w:rsidRPr="00160081" w:rsidRDefault="00160081" w:rsidP="00BD3D91">
            <w:pPr>
              <w:rPr>
                <w:rFonts w:cstheme="minorHAnsi"/>
                <w:color w:val="000000"/>
                <w:sz w:val="20"/>
                <w:szCs w:val="20"/>
              </w:rPr>
            </w:pPr>
            <w:r w:rsidRPr="00160081">
              <w:rPr>
                <w:rFonts w:cstheme="minorHAnsi"/>
                <w:color w:val="000000"/>
                <w:sz w:val="20"/>
                <w:szCs w:val="20"/>
              </w:rPr>
              <w:t>Diseño de formulario adaptativo o responsive para ser accedido desde cualquier dispositivo (PC, Tablet, Móvil).</w:t>
            </w:r>
          </w:p>
        </w:tc>
        <w:tc>
          <w:tcPr>
            <w:tcW w:w="0" w:type="auto"/>
            <w:tcBorders>
              <w:top w:val="nil"/>
              <w:left w:val="nil"/>
              <w:bottom w:val="single" w:sz="4" w:space="0" w:color="auto"/>
              <w:right w:val="single" w:sz="4" w:space="0" w:color="auto"/>
            </w:tcBorders>
            <w:vAlign w:val="center"/>
            <w:hideMark/>
          </w:tcPr>
          <w:p w14:paraId="14C317A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B70033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797D393"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6A1B968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1.12</w:t>
            </w:r>
          </w:p>
        </w:tc>
        <w:tc>
          <w:tcPr>
            <w:tcW w:w="6867" w:type="dxa"/>
            <w:tcBorders>
              <w:top w:val="nil"/>
              <w:left w:val="nil"/>
              <w:bottom w:val="single" w:sz="4" w:space="0" w:color="auto"/>
              <w:right w:val="single" w:sz="8" w:space="0" w:color="auto"/>
            </w:tcBorders>
            <w:shd w:val="clear" w:color="000000" w:fill="FFFFFF"/>
            <w:vAlign w:val="center"/>
            <w:hideMark/>
          </w:tcPr>
          <w:p w14:paraId="3F6BE183"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diseñador de formularios permite incluir controles que enriquezcan la interfaz de usuario vía Widgets listos para usar.</w:t>
            </w:r>
          </w:p>
        </w:tc>
        <w:tc>
          <w:tcPr>
            <w:tcW w:w="0" w:type="auto"/>
            <w:tcBorders>
              <w:top w:val="nil"/>
              <w:left w:val="nil"/>
              <w:bottom w:val="single" w:sz="4" w:space="0" w:color="auto"/>
              <w:right w:val="single" w:sz="4" w:space="0" w:color="auto"/>
            </w:tcBorders>
            <w:shd w:val="clear" w:color="000000" w:fill="FFFFFF"/>
            <w:vAlign w:val="center"/>
            <w:hideMark/>
          </w:tcPr>
          <w:p w14:paraId="28B7383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17F406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F32B9A9"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669C55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1.13</w:t>
            </w:r>
          </w:p>
        </w:tc>
        <w:tc>
          <w:tcPr>
            <w:tcW w:w="6867" w:type="dxa"/>
            <w:tcBorders>
              <w:top w:val="nil"/>
              <w:left w:val="nil"/>
              <w:bottom w:val="single" w:sz="4" w:space="0" w:color="auto"/>
              <w:right w:val="single" w:sz="8" w:space="0" w:color="auto"/>
            </w:tcBorders>
            <w:shd w:val="clear" w:color="000000" w:fill="FFFFFF"/>
            <w:vAlign w:val="center"/>
            <w:hideMark/>
          </w:tcPr>
          <w:p w14:paraId="167B1C66"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Modelo de Datos puede ser compartido y reutilizado entre procesos.</w:t>
            </w:r>
          </w:p>
        </w:tc>
        <w:tc>
          <w:tcPr>
            <w:tcW w:w="0" w:type="auto"/>
            <w:tcBorders>
              <w:top w:val="nil"/>
              <w:left w:val="nil"/>
              <w:bottom w:val="single" w:sz="4" w:space="0" w:color="auto"/>
              <w:right w:val="single" w:sz="4" w:space="0" w:color="auto"/>
            </w:tcBorders>
            <w:shd w:val="clear" w:color="000000" w:fill="FFFFFF"/>
            <w:vAlign w:val="center"/>
            <w:hideMark/>
          </w:tcPr>
          <w:p w14:paraId="0BFD322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0B78AA8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90CEEB9"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809603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1.14</w:t>
            </w:r>
          </w:p>
        </w:tc>
        <w:tc>
          <w:tcPr>
            <w:tcW w:w="6867" w:type="dxa"/>
            <w:tcBorders>
              <w:top w:val="nil"/>
              <w:left w:val="nil"/>
              <w:bottom w:val="single" w:sz="4" w:space="0" w:color="auto"/>
              <w:right w:val="single" w:sz="8" w:space="0" w:color="auto"/>
            </w:tcBorders>
            <w:shd w:val="clear" w:color="000000" w:fill="FFFFFF"/>
            <w:vAlign w:val="center"/>
            <w:hideMark/>
          </w:tcPr>
          <w:p w14:paraId="2ABCCCF6" w14:textId="77777777" w:rsidR="00160081" w:rsidRPr="00160081" w:rsidRDefault="00160081" w:rsidP="00BD3D91">
            <w:pPr>
              <w:rPr>
                <w:rFonts w:cstheme="minorHAnsi"/>
                <w:color w:val="000000"/>
                <w:sz w:val="20"/>
                <w:szCs w:val="20"/>
              </w:rPr>
            </w:pPr>
            <w:r w:rsidRPr="00160081">
              <w:rPr>
                <w:rFonts w:cstheme="minorHAnsi"/>
                <w:color w:val="000000"/>
                <w:sz w:val="20"/>
                <w:szCs w:val="20"/>
              </w:rPr>
              <w:t>Capacidad para soportar flujos de procesos impredecibles o no estructurados.</w:t>
            </w:r>
          </w:p>
        </w:tc>
        <w:tc>
          <w:tcPr>
            <w:tcW w:w="0" w:type="auto"/>
            <w:tcBorders>
              <w:top w:val="nil"/>
              <w:left w:val="nil"/>
              <w:bottom w:val="single" w:sz="4" w:space="0" w:color="auto"/>
              <w:right w:val="single" w:sz="4" w:space="0" w:color="auto"/>
            </w:tcBorders>
            <w:shd w:val="clear" w:color="000000" w:fill="FFFFFF"/>
            <w:vAlign w:val="center"/>
            <w:hideMark/>
          </w:tcPr>
          <w:p w14:paraId="280FCEF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0182914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698B3D63"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502EE8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1.15</w:t>
            </w:r>
          </w:p>
        </w:tc>
        <w:tc>
          <w:tcPr>
            <w:tcW w:w="6867" w:type="dxa"/>
            <w:tcBorders>
              <w:top w:val="nil"/>
              <w:left w:val="nil"/>
              <w:bottom w:val="single" w:sz="4" w:space="0" w:color="auto"/>
              <w:right w:val="single" w:sz="8" w:space="0" w:color="auto"/>
            </w:tcBorders>
            <w:shd w:val="clear" w:color="000000" w:fill="FFFFFF"/>
            <w:vAlign w:val="center"/>
            <w:hideMark/>
          </w:tcPr>
          <w:p w14:paraId="328A2770"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Permite la creación de aplicaciones ilimitadas personalizadas, atractivas y listas para usar para los usuarios finales basado en </w:t>
            </w:r>
            <w:proofErr w:type="spellStart"/>
            <w:r w:rsidRPr="00160081">
              <w:rPr>
                <w:rFonts w:cstheme="minorHAnsi"/>
                <w:color w:val="000000"/>
                <w:sz w:val="20"/>
                <w:szCs w:val="20"/>
              </w:rPr>
              <w:t>low</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code</w:t>
            </w:r>
            <w:proofErr w:type="spellEnd"/>
            <w:r w:rsidRPr="00160081">
              <w:rPr>
                <w:rFonts w:cstheme="minorHAnsi"/>
                <w:color w:val="000000"/>
                <w:sz w:val="20"/>
                <w:szCs w:val="20"/>
              </w:rPr>
              <w:t>.</w:t>
            </w:r>
          </w:p>
        </w:tc>
        <w:tc>
          <w:tcPr>
            <w:tcW w:w="0" w:type="auto"/>
            <w:tcBorders>
              <w:top w:val="nil"/>
              <w:left w:val="nil"/>
              <w:bottom w:val="single" w:sz="4" w:space="0" w:color="auto"/>
              <w:right w:val="single" w:sz="4" w:space="0" w:color="auto"/>
            </w:tcBorders>
            <w:shd w:val="clear" w:color="000000" w:fill="FFFFFF"/>
            <w:vAlign w:val="center"/>
            <w:hideMark/>
          </w:tcPr>
          <w:p w14:paraId="7917BF8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1F1AFD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7C3A4C3"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1DBF013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1.16</w:t>
            </w:r>
          </w:p>
        </w:tc>
        <w:tc>
          <w:tcPr>
            <w:tcW w:w="6867" w:type="dxa"/>
            <w:tcBorders>
              <w:top w:val="nil"/>
              <w:left w:val="nil"/>
              <w:bottom w:val="single" w:sz="4" w:space="0" w:color="auto"/>
              <w:right w:val="single" w:sz="8" w:space="0" w:color="auto"/>
            </w:tcBorders>
            <w:shd w:val="clear" w:color="000000" w:fill="FFFFFF"/>
            <w:vAlign w:val="center"/>
            <w:hideMark/>
          </w:tcPr>
          <w:p w14:paraId="439D82CD" w14:textId="77777777" w:rsidR="00160081" w:rsidRPr="00160081" w:rsidRDefault="00160081" w:rsidP="00BD3D91">
            <w:pPr>
              <w:rPr>
                <w:rFonts w:cstheme="minorHAnsi"/>
                <w:color w:val="000000"/>
                <w:sz w:val="20"/>
                <w:szCs w:val="20"/>
              </w:rPr>
            </w:pPr>
            <w:r w:rsidRPr="00160081">
              <w:rPr>
                <w:rFonts w:cstheme="minorHAnsi"/>
                <w:color w:val="000000"/>
                <w:sz w:val="20"/>
                <w:szCs w:val="20"/>
              </w:rPr>
              <w:t>Debe tener una aplicación propia para acceder a los procesos desde dispositivos móviles y que pueda trabajar de manera offline. Soporte Android y iOS.</w:t>
            </w:r>
          </w:p>
        </w:tc>
        <w:tc>
          <w:tcPr>
            <w:tcW w:w="0" w:type="auto"/>
            <w:tcBorders>
              <w:top w:val="nil"/>
              <w:left w:val="nil"/>
              <w:bottom w:val="single" w:sz="4" w:space="0" w:color="auto"/>
              <w:right w:val="single" w:sz="4" w:space="0" w:color="auto"/>
            </w:tcBorders>
            <w:shd w:val="clear" w:color="000000" w:fill="FFFFFF"/>
            <w:vAlign w:val="center"/>
            <w:hideMark/>
          </w:tcPr>
          <w:p w14:paraId="0CAFCFB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4FBF44E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517655B6"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2794D24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1.17</w:t>
            </w:r>
          </w:p>
        </w:tc>
        <w:tc>
          <w:tcPr>
            <w:tcW w:w="6867" w:type="dxa"/>
            <w:tcBorders>
              <w:top w:val="nil"/>
              <w:left w:val="nil"/>
              <w:bottom w:val="single" w:sz="4" w:space="0" w:color="auto"/>
              <w:right w:val="single" w:sz="8" w:space="0" w:color="auto"/>
            </w:tcBorders>
            <w:shd w:val="clear" w:color="000000" w:fill="FFFFFF"/>
            <w:vAlign w:val="center"/>
            <w:hideMark/>
          </w:tcPr>
          <w:p w14:paraId="135427B1" w14:textId="77777777" w:rsidR="00160081" w:rsidRPr="00160081" w:rsidRDefault="00160081" w:rsidP="00BD3D91">
            <w:pPr>
              <w:rPr>
                <w:rFonts w:cstheme="minorHAnsi"/>
                <w:sz w:val="20"/>
                <w:szCs w:val="20"/>
              </w:rPr>
            </w:pPr>
            <w:r w:rsidRPr="00160081">
              <w:rPr>
                <w:rFonts w:cstheme="minorHAnsi"/>
                <w:sz w:val="20"/>
                <w:szCs w:val="20"/>
              </w:rPr>
              <w:t>Cuenta con características de IA generativa basadas en agentes de manera nativa que permitan trabajar con diagramas de flujo, archivos, imágenes y texto.</w:t>
            </w:r>
          </w:p>
        </w:tc>
        <w:tc>
          <w:tcPr>
            <w:tcW w:w="0" w:type="auto"/>
            <w:tcBorders>
              <w:top w:val="nil"/>
              <w:left w:val="nil"/>
              <w:bottom w:val="single" w:sz="4" w:space="0" w:color="auto"/>
              <w:right w:val="single" w:sz="4" w:space="0" w:color="auto"/>
            </w:tcBorders>
            <w:shd w:val="clear" w:color="000000" w:fill="FFFFFF"/>
            <w:vAlign w:val="center"/>
            <w:hideMark/>
          </w:tcPr>
          <w:p w14:paraId="1E837DB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357B2CE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CB4CA1F"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3C2FF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1.18</w:t>
            </w:r>
          </w:p>
        </w:tc>
        <w:tc>
          <w:tcPr>
            <w:tcW w:w="6867" w:type="dxa"/>
            <w:tcBorders>
              <w:top w:val="nil"/>
              <w:left w:val="nil"/>
              <w:bottom w:val="single" w:sz="4" w:space="0" w:color="auto"/>
              <w:right w:val="single" w:sz="8" w:space="0" w:color="auto"/>
            </w:tcBorders>
            <w:shd w:val="clear" w:color="000000" w:fill="FFFFFF"/>
            <w:vAlign w:val="center"/>
            <w:hideMark/>
          </w:tcPr>
          <w:p w14:paraId="2ABDCC0A"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implementar procesos complejos con bajo código para usuarios funcionales y expertos.</w:t>
            </w:r>
          </w:p>
        </w:tc>
        <w:tc>
          <w:tcPr>
            <w:tcW w:w="0" w:type="auto"/>
            <w:tcBorders>
              <w:top w:val="nil"/>
              <w:left w:val="nil"/>
              <w:bottom w:val="single" w:sz="4" w:space="0" w:color="auto"/>
              <w:right w:val="single" w:sz="4" w:space="0" w:color="auto"/>
            </w:tcBorders>
            <w:shd w:val="clear" w:color="000000" w:fill="FFFFFF"/>
            <w:vAlign w:val="center"/>
            <w:hideMark/>
          </w:tcPr>
          <w:p w14:paraId="4E496D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71EA831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E7F372F"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4EBAF85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1.19</w:t>
            </w:r>
          </w:p>
        </w:tc>
        <w:tc>
          <w:tcPr>
            <w:tcW w:w="6867" w:type="dxa"/>
            <w:tcBorders>
              <w:top w:val="nil"/>
              <w:left w:val="nil"/>
              <w:bottom w:val="single" w:sz="4" w:space="0" w:color="auto"/>
              <w:right w:val="single" w:sz="8" w:space="0" w:color="auto"/>
            </w:tcBorders>
            <w:shd w:val="clear" w:color="000000" w:fill="FFFFFF"/>
            <w:vAlign w:val="center"/>
            <w:hideMark/>
          </w:tcPr>
          <w:p w14:paraId="75D58C06"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implementar procesos ligeros sin código para usuarios de negocio directamente desde el portal de trabajo web.</w:t>
            </w:r>
          </w:p>
        </w:tc>
        <w:tc>
          <w:tcPr>
            <w:tcW w:w="0" w:type="auto"/>
            <w:tcBorders>
              <w:top w:val="nil"/>
              <w:left w:val="nil"/>
              <w:bottom w:val="single" w:sz="4" w:space="0" w:color="auto"/>
              <w:right w:val="single" w:sz="4" w:space="0" w:color="auto"/>
            </w:tcBorders>
            <w:shd w:val="clear" w:color="000000" w:fill="FFFFFF"/>
            <w:vAlign w:val="center"/>
            <w:hideMark/>
          </w:tcPr>
          <w:p w14:paraId="1C69B66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1E87100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5E4E9C6"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3174E0F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1.20</w:t>
            </w:r>
          </w:p>
        </w:tc>
        <w:tc>
          <w:tcPr>
            <w:tcW w:w="6867" w:type="dxa"/>
            <w:tcBorders>
              <w:top w:val="nil"/>
              <w:left w:val="nil"/>
              <w:bottom w:val="single" w:sz="4" w:space="0" w:color="auto"/>
              <w:right w:val="single" w:sz="4" w:space="0" w:color="auto"/>
            </w:tcBorders>
            <w:vAlign w:val="center"/>
            <w:hideMark/>
          </w:tcPr>
          <w:p w14:paraId="6BE723DE"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BPMS deberá soportar ejecución distribuida y paralela de procesos, manteniendo consistencia transaccional, compensación de errores y reintentos configurables sin desarrollo adicional.</w:t>
            </w:r>
          </w:p>
        </w:tc>
        <w:tc>
          <w:tcPr>
            <w:tcW w:w="0" w:type="auto"/>
            <w:tcBorders>
              <w:top w:val="nil"/>
              <w:left w:val="single" w:sz="8" w:space="0" w:color="auto"/>
              <w:bottom w:val="single" w:sz="4" w:space="0" w:color="auto"/>
              <w:right w:val="single" w:sz="4" w:space="0" w:color="auto"/>
            </w:tcBorders>
            <w:vAlign w:val="center"/>
            <w:hideMark/>
          </w:tcPr>
          <w:p w14:paraId="1D57E81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506ECE1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2CA943F" w14:textId="77777777" w:rsidTr="00CA02A6">
        <w:trPr>
          <w:trHeight w:val="420"/>
        </w:trPr>
        <w:tc>
          <w:tcPr>
            <w:tcW w:w="0" w:type="auto"/>
            <w:tcBorders>
              <w:top w:val="nil"/>
              <w:left w:val="single" w:sz="8" w:space="0" w:color="auto"/>
              <w:bottom w:val="single" w:sz="4" w:space="0" w:color="auto"/>
              <w:right w:val="single" w:sz="4" w:space="0" w:color="auto"/>
            </w:tcBorders>
            <w:vAlign w:val="center"/>
            <w:hideMark/>
          </w:tcPr>
          <w:p w14:paraId="79E92B3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1.21</w:t>
            </w:r>
          </w:p>
        </w:tc>
        <w:tc>
          <w:tcPr>
            <w:tcW w:w="6867" w:type="dxa"/>
            <w:tcBorders>
              <w:top w:val="nil"/>
              <w:left w:val="nil"/>
              <w:bottom w:val="nil"/>
              <w:right w:val="nil"/>
            </w:tcBorders>
            <w:vAlign w:val="center"/>
            <w:hideMark/>
          </w:tcPr>
          <w:p w14:paraId="012BD877"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BPMS deberá permitir la generación de identificadores únicos de casos, mediante esquemas de numeración parametrizables y sin desarrollo adicional, garantizando unicidad y trazabilidad.</w:t>
            </w:r>
          </w:p>
        </w:tc>
        <w:tc>
          <w:tcPr>
            <w:tcW w:w="0" w:type="auto"/>
            <w:tcBorders>
              <w:top w:val="nil"/>
              <w:left w:val="single" w:sz="8" w:space="0" w:color="auto"/>
              <w:bottom w:val="single" w:sz="4" w:space="0" w:color="auto"/>
              <w:right w:val="single" w:sz="4" w:space="0" w:color="auto"/>
            </w:tcBorders>
            <w:vAlign w:val="center"/>
            <w:hideMark/>
          </w:tcPr>
          <w:p w14:paraId="0A1C0DE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14DDAA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7FD5AEA"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40A6071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w:t>
            </w:r>
          </w:p>
        </w:tc>
        <w:tc>
          <w:tcPr>
            <w:tcW w:w="6867" w:type="dxa"/>
            <w:tcBorders>
              <w:top w:val="single" w:sz="4" w:space="0" w:color="auto"/>
              <w:left w:val="nil"/>
              <w:bottom w:val="single" w:sz="4" w:space="0" w:color="auto"/>
              <w:right w:val="single" w:sz="8" w:space="0" w:color="auto"/>
            </w:tcBorders>
            <w:shd w:val="clear" w:color="000000" w:fill="E6E6E6"/>
            <w:vAlign w:val="center"/>
            <w:hideMark/>
          </w:tcPr>
          <w:p w14:paraId="3C6A946F" w14:textId="77777777" w:rsidR="00160081" w:rsidRPr="00160081" w:rsidRDefault="00160081" w:rsidP="00BD3D91">
            <w:pPr>
              <w:rPr>
                <w:rFonts w:cstheme="minorHAnsi"/>
                <w:b/>
                <w:bCs/>
                <w:color w:val="000000"/>
                <w:sz w:val="20"/>
                <w:szCs w:val="20"/>
              </w:rPr>
            </w:pPr>
            <w:r w:rsidRPr="00160081">
              <w:rPr>
                <w:rFonts w:cstheme="minorHAnsi"/>
                <w:b/>
                <w:bCs/>
                <w:color w:val="000000"/>
                <w:sz w:val="20"/>
                <w:szCs w:val="20"/>
              </w:rPr>
              <w:t>DISEÑADOR DE DIAGRAMAS</w:t>
            </w:r>
          </w:p>
        </w:tc>
        <w:tc>
          <w:tcPr>
            <w:tcW w:w="0" w:type="auto"/>
            <w:tcBorders>
              <w:top w:val="nil"/>
              <w:left w:val="nil"/>
              <w:bottom w:val="single" w:sz="4" w:space="0" w:color="auto"/>
              <w:right w:val="single" w:sz="4" w:space="0" w:color="auto"/>
            </w:tcBorders>
            <w:shd w:val="clear" w:color="000000" w:fill="E6E6E6"/>
            <w:vAlign w:val="center"/>
            <w:hideMark/>
          </w:tcPr>
          <w:p w14:paraId="5FCD3E1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5FD2E08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25DC7D0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0D9586B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w:t>
            </w:r>
          </w:p>
        </w:tc>
        <w:tc>
          <w:tcPr>
            <w:tcW w:w="6867" w:type="dxa"/>
            <w:tcBorders>
              <w:top w:val="nil"/>
              <w:left w:val="nil"/>
              <w:bottom w:val="single" w:sz="4" w:space="0" w:color="auto"/>
              <w:right w:val="single" w:sz="8" w:space="0" w:color="auto"/>
            </w:tcBorders>
            <w:vAlign w:val="center"/>
            <w:hideMark/>
          </w:tcPr>
          <w:p w14:paraId="3C5F08A8"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el trabajo colaborativo para la documentación y diagramación de los procesos.</w:t>
            </w:r>
          </w:p>
        </w:tc>
        <w:tc>
          <w:tcPr>
            <w:tcW w:w="0" w:type="auto"/>
            <w:tcBorders>
              <w:top w:val="nil"/>
              <w:left w:val="nil"/>
              <w:bottom w:val="single" w:sz="4" w:space="0" w:color="auto"/>
              <w:right w:val="single" w:sz="4" w:space="0" w:color="auto"/>
            </w:tcBorders>
            <w:vAlign w:val="center"/>
            <w:hideMark/>
          </w:tcPr>
          <w:p w14:paraId="24DBE28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28D68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4172264"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6B46C8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2.2</w:t>
            </w:r>
          </w:p>
        </w:tc>
        <w:tc>
          <w:tcPr>
            <w:tcW w:w="6867" w:type="dxa"/>
            <w:tcBorders>
              <w:top w:val="nil"/>
              <w:left w:val="nil"/>
              <w:bottom w:val="single" w:sz="4" w:space="0" w:color="auto"/>
              <w:right w:val="single" w:sz="8" w:space="0" w:color="auto"/>
            </w:tcBorders>
            <w:vAlign w:val="center"/>
            <w:hideMark/>
          </w:tcPr>
          <w:p w14:paraId="22B33BE0"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Repositorio Centralizado.</w:t>
            </w:r>
          </w:p>
        </w:tc>
        <w:tc>
          <w:tcPr>
            <w:tcW w:w="0" w:type="auto"/>
            <w:tcBorders>
              <w:top w:val="nil"/>
              <w:left w:val="nil"/>
              <w:bottom w:val="single" w:sz="4" w:space="0" w:color="auto"/>
              <w:right w:val="single" w:sz="4" w:space="0" w:color="auto"/>
            </w:tcBorders>
            <w:vAlign w:val="center"/>
            <w:hideMark/>
          </w:tcPr>
          <w:p w14:paraId="510CBDE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0DDB28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3508F5B"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068F0A1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2.3</w:t>
            </w:r>
          </w:p>
        </w:tc>
        <w:tc>
          <w:tcPr>
            <w:tcW w:w="6867" w:type="dxa"/>
            <w:tcBorders>
              <w:top w:val="nil"/>
              <w:left w:val="nil"/>
              <w:bottom w:val="single" w:sz="4" w:space="0" w:color="auto"/>
              <w:right w:val="single" w:sz="8" w:space="0" w:color="auto"/>
            </w:tcBorders>
            <w:vAlign w:val="center"/>
            <w:hideMark/>
          </w:tcPr>
          <w:p w14:paraId="388374FE"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Versionamiento</w:t>
            </w:r>
            <w:proofErr w:type="spellEnd"/>
            <w:r w:rsidRPr="00160081">
              <w:rPr>
                <w:rFonts w:cstheme="minorHAnsi"/>
                <w:color w:val="000000"/>
                <w:sz w:val="20"/>
                <w:szCs w:val="20"/>
              </w:rPr>
              <w:t xml:space="preserve"> de flujos y trazabilidad de los cambios a los flujos.</w:t>
            </w:r>
          </w:p>
        </w:tc>
        <w:tc>
          <w:tcPr>
            <w:tcW w:w="0" w:type="auto"/>
            <w:tcBorders>
              <w:top w:val="nil"/>
              <w:left w:val="nil"/>
              <w:bottom w:val="single" w:sz="4" w:space="0" w:color="auto"/>
              <w:right w:val="single" w:sz="4" w:space="0" w:color="auto"/>
            </w:tcBorders>
            <w:vAlign w:val="center"/>
            <w:hideMark/>
          </w:tcPr>
          <w:p w14:paraId="262BFD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09C9D7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DD3B74A"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4985C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2.4</w:t>
            </w:r>
          </w:p>
        </w:tc>
        <w:tc>
          <w:tcPr>
            <w:tcW w:w="6867" w:type="dxa"/>
            <w:tcBorders>
              <w:top w:val="nil"/>
              <w:left w:val="nil"/>
              <w:bottom w:val="single" w:sz="4" w:space="0" w:color="auto"/>
              <w:right w:val="single" w:sz="8" w:space="0" w:color="auto"/>
            </w:tcBorders>
            <w:vAlign w:val="center"/>
            <w:hideMark/>
          </w:tcPr>
          <w:p w14:paraId="341B697C" w14:textId="77777777" w:rsidR="00160081" w:rsidRPr="00160081" w:rsidRDefault="00160081" w:rsidP="00BD3D91">
            <w:pPr>
              <w:rPr>
                <w:rFonts w:cstheme="minorHAnsi"/>
                <w:color w:val="000000"/>
                <w:sz w:val="20"/>
                <w:szCs w:val="20"/>
              </w:rPr>
            </w:pPr>
            <w:r w:rsidRPr="00160081">
              <w:rPr>
                <w:rFonts w:cstheme="minorHAnsi"/>
                <w:color w:val="000000"/>
                <w:sz w:val="20"/>
                <w:szCs w:val="20"/>
              </w:rPr>
              <w:t>Soporte Diseños de subprocesos reutilizables.</w:t>
            </w:r>
          </w:p>
        </w:tc>
        <w:tc>
          <w:tcPr>
            <w:tcW w:w="0" w:type="auto"/>
            <w:tcBorders>
              <w:top w:val="nil"/>
              <w:left w:val="nil"/>
              <w:bottom w:val="single" w:sz="4" w:space="0" w:color="auto"/>
              <w:right w:val="single" w:sz="4" w:space="0" w:color="auto"/>
            </w:tcBorders>
            <w:vAlign w:val="center"/>
            <w:hideMark/>
          </w:tcPr>
          <w:p w14:paraId="1AAA7D2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98FD46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EA201F7"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7E2B617E" w14:textId="77777777" w:rsidR="00160081" w:rsidRPr="00160081" w:rsidRDefault="00160081" w:rsidP="00CA02A6">
            <w:pPr>
              <w:ind w:hanging="86"/>
              <w:jc w:val="center"/>
              <w:rPr>
                <w:rFonts w:cstheme="minorHAnsi"/>
                <w:color w:val="000000"/>
                <w:sz w:val="20"/>
                <w:szCs w:val="20"/>
              </w:rPr>
            </w:pPr>
            <w:r w:rsidRPr="00160081">
              <w:rPr>
                <w:rFonts w:cstheme="minorHAnsi"/>
                <w:color w:val="000000"/>
                <w:sz w:val="20"/>
                <w:szCs w:val="20"/>
              </w:rPr>
              <w:t>2.5</w:t>
            </w:r>
          </w:p>
        </w:tc>
        <w:tc>
          <w:tcPr>
            <w:tcW w:w="6867" w:type="dxa"/>
            <w:tcBorders>
              <w:top w:val="nil"/>
              <w:left w:val="nil"/>
              <w:bottom w:val="single" w:sz="4" w:space="0" w:color="auto"/>
              <w:right w:val="single" w:sz="8" w:space="0" w:color="auto"/>
            </w:tcBorders>
            <w:vAlign w:val="center"/>
            <w:hideMark/>
          </w:tcPr>
          <w:p w14:paraId="61480B91" w14:textId="77777777" w:rsidR="00160081" w:rsidRPr="00160081" w:rsidRDefault="00160081" w:rsidP="00BD3D91">
            <w:pPr>
              <w:rPr>
                <w:rFonts w:cstheme="minorHAnsi"/>
                <w:sz w:val="20"/>
                <w:szCs w:val="20"/>
              </w:rPr>
            </w:pPr>
            <w:r w:rsidRPr="00160081">
              <w:rPr>
                <w:rFonts w:cstheme="minorHAnsi"/>
                <w:sz w:val="20"/>
                <w:szCs w:val="20"/>
              </w:rPr>
              <w:t>El motor BPM deberá soportar de forma nativa el estándar BPMN 2.0 completo y XPDL 2.2, incluyendo eventos intermedios, límites, temporizadores, compuertas complejas, subprocesos reutilizables y fragmentación dinámica, garantizando interpretabilidad con herramientas de modelado estándar.</w:t>
            </w:r>
          </w:p>
        </w:tc>
        <w:tc>
          <w:tcPr>
            <w:tcW w:w="0" w:type="auto"/>
            <w:tcBorders>
              <w:top w:val="nil"/>
              <w:left w:val="nil"/>
              <w:bottom w:val="single" w:sz="4" w:space="0" w:color="auto"/>
              <w:right w:val="single" w:sz="4" w:space="0" w:color="auto"/>
            </w:tcBorders>
            <w:vAlign w:val="center"/>
            <w:hideMark/>
          </w:tcPr>
          <w:p w14:paraId="23F0AF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39C4F7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B76B203"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8324A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2.6</w:t>
            </w:r>
          </w:p>
        </w:tc>
        <w:tc>
          <w:tcPr>
            <w:tcW w:w="6867" w:type="dxa"/>
            <w:tcBorders>
              <w:top w:val="nil"/>
              <w:left w:val="nil"/>
              <w:bottom w:val="single" w:sz="4" w:space="0" w:color="auto"/>
              <w:right w:val="single" w:sz="8" w:space="0" w:color="auto"/>
            </w:tcBorders>
            <w:vAlign w:val="center"/>
            <w:hideMark/>
          </w:tcPr>
          <w:p w14:paraId="2C5689AF" w14:textId="77777777" w:rsidR="00160081" w:rsidRPr="00160081" w:rsidRDefault="00160081" w:rsidP="00BD3D91">
            <w:pPr>
              <w:rPr>
                <w:rFonts w:cstheme="minorHAnsi"/>
                <w:color w:val="000000"/>
                <w:sz w:val="20"/>
                <w:szCs w:val="20"/>
              </w:rPr>
            </w:pPr>
            <w:proofErr w:type="gramStart"/>
            <w:r w:rsidRPr="00160081">
              <w:rPr>
                <w:rFonts w:cstheme="minorHAnsi"/>
                <w:color w:val="000000"/>
                <w:sz w:val="20"/>
                <w:szCs w:val="20"/>
              </w:rPr>
              <w:t>Exportación  de</w:t>
            </w:r>
            <w:proofErr w:type="gramEnd"/>
            <w:r w:rsidRPr="00160081">
              <w:rPr>
                <w:rFonts w:cstheme="minorHAnsi"/>
                <w:color w:val="000000"/>
                <w:sz w:val="20"/>
                <w:szCs w:val="20"/>
              </w:rPr>
              <w:t xml:space="preserve">  </w:t>
            </w:r>
            <w:proofErr w:type="gramStart"/>
            <w:r w:rsidRPr="00160081">
              <w:rPr>
                <w:rFonts w:cstheme="minorHAnsi"/>
                <w:color w:val="000000"/>
                <w:sz w:val="20"/>
                <w:szCs w:val="20"/>
              </w:rPr>
              <w:t>diseños  dentro</w:t>
            </w:r>
            <w:proofErr w:type="gramEnd"/>
            <w:r w:rsidRPr="00160081">
              <w:rPr>
                <w:rFonts w:cstheme="minorHAnsi"/>
                <w:color w:val="000000"/>
                <w:sz w:val="20"/>
                <w:szCs w:val="20"/>
              </w:rPr>
              <w:t xml:space="preserve">  </w:t>
            </w:r>
            <w:proofErr w:type="gramStart"/>
            <w:r w:rsidRPr="00160081">
              <w:rPr>
                <w:rFonts w:cstheme="minorHAnsi"/>
                <w:color w:val="000000"/>
                <w:sz w:val="20"/>
                <w:szCs w:val="20"/>
              </w:rPr>
              <w:t>de  la</w:t>
            </w:r>
            <w:proofErr w:type="gramEnd"/>
            <w:r w:rsidRPr="00160081">
              <w:rPr>
                <w:rFonts w:cstheme="minorHAnsi"/>
                <w:color w:val="000000"/>
                <w:sz w:val="20"/>
                <w:szCs w:val="20"/>
              </w:rPr>
              <w:t xml:space="preserve">  misma herramienta (BPM, JPG, PDF, PNG, formato editable).</w:t>
            </w:r>
          </w:p>
        </w:tc>
        <w:tc>
          <w:tcPr>
            <w:tcW w:w="0" w:type="auto"/>
            <w:tcBorders>
              <w:top w:val="nil"/>
              <w:left w:val="nil"/>
              <w:bottom w:val="single" w:sz="4" w:space="0" w:color="auto"/>
              <w:right w:val="single" w:sz="4" w:space="0" w:color="auto"/>
            </w:tcBorders>
            <w:vAlign w:val="center"/>
            <w:hideMark/>
          </w:tcPr>
          <w:p w14:paraId="0EECC6A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C8DEAD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830611C"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398059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2.7</w:t>
            </w:r>
          </w:p>
        </w:tc>
        <w:tc>
          <w:tcPr>
            <w:tcW w:w="6867" w:type="dxa"/>
            <w:tcBorders>
              <w:top w:val="nil"/>
              <w:left w:val="nil"/>
              <w:bottom w:val="single" w:sz="4" w:space="0" w:color="auto"/>
              <w:right w:val="single" w:sz="8" w:space="0" w:color="auto"/>
            </w:tcBorders>
            <w:vAlign w:val="center"/>
            <w:hideMark/>
          </w:tcPr>
          <w:p w14:paraId="2A1C40C9" w14:textId="77777777" w:rsidR="00160081" w:rsidRPr="00160081" w:rsidRDefault="00160081" w:rsidP="00BD3D91">
            <w:pPr>
              <w:rPr>
                <w:rFonts w:cstheme="minorHAnsi"/>
                <w:color w:val="000000"/>
                <w:sz w:val="20"/>
                <w:szCs w:val="20"/>
              </w:rPr>
            </w:pPr>
            <w:proofErr w:type="gramStart"/>
            <w:r w:rsidRPr="00160081">
              <w:rPr>
                <w:rFonts w:cstheme="minorHAnsi"/>
                <w:color w:val="000000"/>
                <w:sz w:val="20"/>
                <w:szCs w:val="20"/>
              </w:rPr>
              <w:t>Importación  de</w:t>
            </w:r>
            <w:proofErr w:type="gramEnd"/>
            <w:r w:rsidRPr="00160081">
              <w:rPr>
                <w:rFonts w:cstheme="minorHAnsi"/>
                <w:color w:val="000000"/>
                <w:sz w:val="20"/>
                <w:szCs w:val="20"/>
              </w:rPr>
              <w:t xml:space="preserve">  </w:t>
            </w:r>
            <w:proofErr w:type="gramStart"/>
            <w:r w:rsidRPr="00160081">
              <w:rPr>
                <w:rFonts w:cstheme="minorHAnsi"/>
                <w:color w:val="000000"/>
                <w:sz w:val="20"/>
                <w:szCs w:val="20"/>
              </w:rPr>
              <w:t>diseños  dentro</w:t>
            </w:r>
            <w:proofErr w:type="gramEnd"/>
            <w:r w:rsidRPr="00160081">
              <w:rPr>
                <w:rFonts w:cstheme="minorHAnsi"/>
                <w:color w:val="000000"/>
                <w:sz w:val="20"/>
                <w:szCs w:val="20"/>
              </w:rPr>
              <w:t xml:space="preserve">  </w:t>
            </w:r>
            <w:proofErr w:type="gramStart"/>
            <w:r w:rsidRPr="00160081">
              <w:rPr>
                <w:rFonts w:cstheme="minorHAnsi"/>
                <w:color w:val="000000"/>
                <w:sz w:val="20"/>
                <w:szCs w:val="20"/>
              </w:rPr>
              <w:t>de  la</w:t>
            </w:r>
            <w:proofErr w:type="gramEnd"/>
            <w:r w:rsidRPr="00160081">
              <w:rPr>
                <w:rFonts w:cstheme="minorHAnsi"/>
                <w:color w:val="000000"/>
                <w:sz w:val="20"/>
                <w:szCs w:val="20"/>
              </w:rPr>
              <w:t xml:space="preserve">  misma herramienta (BPM).</w:t>
            </w:r>
          </w:p>
        </w:tc>
        <w:tc>
          <w:tcPr>
            <w:tcW w:w="0" w:type="auto"/>
            <w:tcBorders>
              <w:top w:val="nil"/>
              <w:left w:val="nil"/>
              <w:bottom w:val="single" w:sz="4" w:space="0" w:color="auto"/>
              <w:right w:val="single" w:sz="4" w:space="0" w:color="auto"/>
            </w:tcBorders>
            <w:vAlign w:val="center"/>
            <w:hideMark/>
          </w:tcPr>
          <w:p w14:paraId="18EE367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5AC25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1111DEA"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30A316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2.8</w:t>
            </w:r>
          </w:p>
        </w:tc>
        <w:tc>
          <w:tcPr>
            <w:tcW w:w="6867" w:type="dxa"/>
            <w:tcBorders>
              <w:top w:val="nil"/>
              <w:left w:val="nil"/>
              <w:bottom w:val="single" w:sz="4" w:space="0" w:color="auto"/>
              <w:right w:val="single" w:sz="8" w:space="0" w:color="auto"/>
            </w:tcBorders>
            <w:shd w:val="clear" w:color="000000" w:fill="FFFFFF"/>
            <w:vAlign w:val="center"/>
            <w:hideMark/>
          </w:tcPr>
          <w:p w14:paraId="2916528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la migración de los flujos por cambio de versión BPMN (estrategia manual)</w:t>
            </w:r>
          </w:p>
        </w:tc>
        <w:tc>
          <w:tcPr>
            <w:tcW w:w="0" w:type="auto"/>
            <w:tcBorders>
              <w:top w:val="nil"/>
              <w:left w:val="nil"/>
              <w:bottom w:val="single" w:sz="4" w:space="0" w:color="auto"/>
              <w:right w:val="single" w:sz="4" w:space="0" w:color="auto"/>
            </w:tcBorders>
            <w:shd w:val="clear" w:color="000000" w:fill="FFFFFF"/>
            <w:vAlign w:val="center"/>
            <w:hideMark/>
          </w:tcPr>
          <w:p w14:paraId="5867CBA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20FD50C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2F6FD2C"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78B56D4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2.9</w:t>
            </w:r>
          </w:p>
        </w:tc>
        <w:tc>
          <w:tcPr>
            <w:tcW w:w="6867" w:type="dxa"/>
            <w:tcBorders>
              <w:top w:val="nil"/>
              <w:left w:val="nil"/>
              <w:bottom w:val="single" w:sz="4" w:space="0" w:color="auto"/>
              <w:right w:val="single" w:sz="8" w:space="0" w:color="auto"/>
            </w:tcBorders>
            <w:shd w:val="clear" w:color="000000" w:fill="FFFFFF"/>
            <w:vAlign w:val="center"/>
            <w:hideMark/>
          </w:tcPr>
          <w:p w14:paraId="632D28E2"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realizar minería de procesos permitiendo identificar cuellos de botellas, identificar mejoras a los procesos y alineación con los estándares de la organización.</w:t>
            </w:r>
          </w:p>
        </w:tc>
        <w:tc>
          <w:tcPr>
            <w:tcW w:w="0" w:type="auto"/>
            <w:tcBorders>
              <w:top w:val="nil"/>
              <w:left w:val="nil"/>
              <w:bottom w:val="single" w:sz="4" w:space="0" w:color="auto"/>
              <w:right w:val="single" w:sz="4" w:space="0" w:color="auto"/>
            </w:tcBorders>
            <w:shd w:val="clear" w:color="000000" w:fill="FFFFFF"/>
            <w:vAlign w:val="center"/>
            <w:hideMark/>
          </w:tcPr>
          <w:p w14:paraId="568651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79DF34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136A173"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585B319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2.10</w:t>
            </w:r>
          </w:p>
        </w:tc>
        <w:tc>
          <w:tcPr>
            <w:tcW w:w="6867" w:type="dxa"/>
            <w:tcBorders>
              <w:top w:val="nil"/>
              <w:left w:val="nil"/>
              <w:bottom w:val="single" w:sz="4" w:space="0" w:color="auto"/>
              <w:right w:val="single" w:sz="8" w:space="0" w:color="auto"/>
            </w:tcBorders>
            <w:shd w:val="clear" w:color="000000" w:fill="FFFFFF"/>
            <w:vAlign w:val="center"/>
            <w:hideMark/>
          </w:tcPr>
          <w:p w14:paraId="3D8B297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Soporta simulación de procesos para realizar evaluaciones </w:t>
            </w:r>
            <w:proofErr w:type="gramStart"/>
            <w:r w:rsidRPr="00160081">
              <w:rPr>
                <w:rFonts w:cstheme="minorHAnsi"/>
                <w:color w:val="000000"/>
                <w:sz w:val="20"/>
                <w:szCs w:val="20"/>
              </w:rPr>
              <w:t>de :</w:t>
            </w:r>
            <w:proofErr w:type="gramEnd"/>
            <w:r w:rsidRPr="00160081">
              <w:rPr>
                <w:rFonts w:cstheme="minorHAnsi"/>
                <w:color w:val="000000"/>
                <w:sz w:val="20"/>
                <w:szCs w:val="20"/>
              </w:rPr>
              <w:t xml:space="preserve"> diseño de procesos, análisis de tiempo, análisis de recursos y análisis de calendarios.</w:t>
            </w:r>
          </w:p>
        </w:tc>
        <w:tc>
          <w:tcPr>
            <w:tcW w:w="0" w:type="auto"/>
            <w:tcBorders>
              <w:top w:val="nil"/>
              <w:left w:val="nil"/>
              <w:bottom w:val="single" w:sz="4" w:space="0" w:color="auto"/>
              <w:right w:val="single" w:sz="4" w:space="0" w:color="auto"/>
            </w:tcBorders>
            <w:shd w:val="clear" w:color="000000" w:fill="FFFFFF"/>
            <w:vAlign w:val="center"/>
            <w:hideMark/>
          </w:tcPr>
          <w:p w14:paraId="1EC23AA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shd w:val="clear" w:color="000000" w:fill="FFFFFF"/>
            <w:vAlign w:val="center"/>
            <w:hideMark/>
          </w:tcPr>
          <w:p w14:paraId="1C52028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717DB66"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77DC6E0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2.11</w:t>
            </w:r>
          </w:p>
        </w:tc>
        <w:tc>
          <w:tcPr>
            <w:tcW w:w="6867" w:type="dxa"/>
            <w:tcBorders>
              <w:top w:val="nil"/>
              <w:left w:val="nil"/>
              <w:bottom w:val="single" w:sz="4" w:space="0" w:color="auto"/>
              <w:right w:val="single" w:sz="4" w:space="0" w:color="auto"/>
            </w:tcBorders>
            <w:shd w:val="clear" w:color="000000" w:fill="FFFFFF"/>
            <w:vAlign w:val="center"/>
            <w:hideMark/>
          </w:tcPr>
          <w:p w14:paraId="5E76C82E" w14:textId="77777777" w:rsidR="00160081" w:rsidRPr="00160081" w:rsidRDefault="00160081" w:rsidP="00BD3D91">
            <w:pPr>
              <w:rPr>
                <w:rFonts w:cstheme="minorHAnsi"/>
                <w:sz w:val="20"/>
                <w:szCs w:val="20"/>
              </w:rPr>
            </w:pPr>
            <w:r w:rsidRPr="00160081">
              <w:rPr>
                <w:rFonts w:cstheme="minorHAnsi"/>
                <w:sz w:val="20"/>
                <w:szCs w:val="20"/>
              </w:rPr>
              <w:t>El BPMS deberá ofrecer analítica histórica y predictiva de procesos, incluyendo análisis de tiempos de ciclo, cuellos de botella, simulaciones comparativas y exportación de datos en formatos abiertos (PDF, XLSX, CSV).</w:t>
            </w:r>
          </w:p>
        </w:tc>
        <w:tc>
          <w:tcPr>
            <w:tcW w:w="0" w:type="auto"/>
            <w:tcBorders>
              <w:top w:val="nil"/>
              <w:left w:val="single" w:sz="8" w:space="0" w:color="auto"/>
              <w:bottom w:val="single" w:sz="4" w:space="0" w:color="auto"/>
              <w:right w:val="single" w:sz="4" w:space="0" w:color="auto"/>
            </w:tcBorders>
            <w:shd w:val="clear" w:color="000000" w:fill="FFFFFF"/>
            <w:vAlign w:val="center"/>
            <w:hideMark/>
          </w:tcPr>
          <w:p w14:paraId="0DEA767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76CE657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5EEC250A"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1948CF6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w:t>
            </w:r>
          </w:p>
        </w:tc>
        <w:tc>
          <w:tcPr>
            <w:tcW w:w="6867" w:type="dxa"/>
            <w:tcBorders>
              <w:top w:val="nil"/>
              <w:left w:val="nil"/>
              <w:bottom w:val="single" w:sz="4" w:space="0" w:color="auto"/>
              <w:right w:val="single" w:sz="8" w:space="0" w:color="auto"/>
            </w:tcBorders>
            <w:vAlign w:val="center"/>
            <w:hideMark/>
          </w:tcPr>
          <w:p w14:paraId="1949FCE9" w14:textId="77777777" w:rsidR="00160081" w:rsidRPr="00160081" w:rsidRDefault="00160081" w:rsidP="00BD3D91">
            <w:pPr>
              <w:rPr>
                <w:rFonts w:cstheme="minorHAnsi"/>
                <w:color w:val="000000"/>
                <w:sz w:val="20"/>
                <w:szCs w:val="20"/>
              </w:rPr>
            </w:pPr>
            <w:r w:rsidRPr="00160081">
              <w:rPr>
                <w:rFonts w:cstheme="minorHAnsi"/>
                <w:color w:val="000000"/>
                <w:sz w:val="20"/>
                <w:szCs w:val="20"/>
              </w:rPr>
              <w:t>Automatización de formatos de los procesos a través de formularios (En los campos del formulario pueden ser configurables para fórmulas, extracción o parametrización de información o de interfaz de usuarios conforme a necesidad para ejecución del proceso).</w:t>
            </w:r>
          </w:p>
        </w:tc>
        <w:tc>
          <w:tcPr>
            <w:tcW w:w="0" w:type="auto"/>
            <w:tcBorders>
              <w:top w:val="nil"/>
              <w:left w:val="nil"/>
              <w:bottom w:val="single" w:sz="4" w:space="0" w:color="auto"/>
              <w:right w:val="single" w:sz="4" w:space="0" w:color="auto"/>
            </w:tcBorders>
            <w:vAlign w:val="center"/>
            <w:hideMark/>
          </w:tcPr>
          <w:p w14:paraId="4678439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EC60CF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E1CDCCD"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2455CB2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2.12.1</w:t>
            </w:r>
          </w:p>
        </w:tc>
        <w:tc>
          <w:tcPr>
            <w:tcW w:w="6867" w:type="dxa"/>
            <w:tcBorders>
              <w:top w:val="nil"/>
              <w:left w:val="nil"/>
              <w:bottom w:val="single" w:sz="4" w:space="0" w:color="auto"/>
              <w:right w:val="single" w:sz="8" w:space="0" w:color="auto"/>
            </w:tcBorders>
            <w:vAlign w:val="center"/>
            <w:hideMark/>
          </w:tcPr>
          <w:p w14:paraId="0A5F347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Conectividad nativa con múltiples fuentes de datos (bases de datos internas, servicios web, archivos, </w:t>
            </w:r>
            <w:proofErr w:type="spellStart"/>
            <w:r w:rsidRPr="00160081">
              <w:rPr>
                <w:rFonts w:cstheme="minorHAnsi"/>
                <w:color w:val="000000"/>
                <w:sz w:val="20"/>
                <w:szCs w:val="20"/>
              </w:rPr>
              <w:t>APIs</w:t>
            </w:r>
            <w:proofErr w:type="spellEnd"/>
            <w:r w:rsidRPr="00160081">
              <w:rPr>
                <w:rFonts w:cstheme="minorHAnsi"/>
                <w:color w:val="000000"/>
                <w:sz w:val="20"/>
                <w:szCs w:val="20"/>
              </w:rPr>
              <w:t xml:space="preserve">, etc.) para consulta y actualización de variables; las transformaciones complejas podrán delegarse a capas de integración (ESB) pero el BPMS debe soportar mapeos simples y </w:t>
            </w:r>
            <w:proofErr w:type="spellStart"/>
            <w:r w:rsidRPr="00160081">
              <w:rPr>
                <w:rFonts w:cstheme="minorHAnsi"/>
                <w:color w:val="000000"/>
                <w:sz w:val="20"/>
                <w:szCs w:val="20"/>
              </w:rPr>
              <w:t>caching</w:t>
            </w:r>
            <w:proofErr w:type="spellEnd"/>
            <w:r w:rsidRPr="00160081">
              <w:rPr>
                <w:rFonts w:cstheme="minorHAnsi"/>
                <w:color w:val="000000"/>
                <w:sz w:val="20"/>
                <w:szCs w:val="20"/>
              </w:rPr>
              <w:t xml:space="preserve"> configurable.</w:t>
            </w:r>
          </w:p>
        </w:tc>
        <w:tc>
          <w:tcPr>
            <w:tcW w:w="0" w:type="auto"/>
            <w:tcBorders>
              <w:top w:val="nil"/>
              <w:left w:val="nil"/>
              <w:bottom w:val="single" w:sz="4" w:space="0" w:color="auto"/>
              <w:right w:val="single" w:sz="4" w:space="0" w:color="auto"/>
            </w:tcBorders>
            <w:vAlign w:val="center"/>
            <w:hideMark/>
          </w:tcPr>
          <w:p w14:paraId="016C93E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D7289C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407F192"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644FA8A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2.12.2</w:t>
            </w:r>
          </w:p>
        </w:tc>
        <w:tc>
          <w:tcPr>
            <w:tcW w:w="6867" w:type="dxa"/>
            <w:tcBorders>
              <w:top w:val="nil"/>
              <w:left w:val="nil"/>
              <w:bottom w:val="single" w:sz="4" w:space="0" w:color="auto"/>
              <w:right w:val="single" w:sz="8" w:space="0" w:color="auto"/>
            </w:tcBorders>
            <w:vAlign w:val="center"/>
            <w:hideMark/>
          </w:tcPr>
          <w:p w14:paraId="5F05ABAA" w14:textId="77777777" w:rsidR="00160081" w:rsidRPr="00160081" w:rsidRDefault="00160081" w:rsidP="00BD3D91">
            <w:pPr>
              <w:rPr>
                <w:rFonts w:cstheme="minorHAnsi"/>
                <w:color w:val="000000"/>
                <w:sz w:val="20"/>
                <w:szCs w:val="20"/>
              </w:rPr>
            </w:pPr>
            <w:r w:rsidRPr="00160081">
              <w:rPr>
                <w:rFonts w:cstheme="minorHAnsi"/>
                <w:color w:val="000000"/>
                <w:sz w:val="20"/>
                <w:szCs w:val="20"/>
              </w:rPr>
              <w:t>Extracción, transformación y carga (ETL): capaz de combinar, limpiar y transformar información antes de ser usada por el BPMS.</w:t>
            </w:r>
          </w:p>
        </w:tc>
        <w:tc>
          <w:tcPr>
            <w:tcW w:w="0" w:type="auto"/>
            <w:tcBorders>
              <w:top w:val="nil"/>
              <w:left w:val="nil"/>
              <w:bottom w:val="single" w:sz="4" w:space="0" w:color="auto"/>
              <w:right w:val="single" w:sz="4" w:space="0" w:color="auto"/>
            </w:tcBorders>
            <w:vAlign w:val="center"/>
            <w:hideMark/>
          </w:tcPr>
          <w:p w14:paraId="77977DE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09C635B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1DF18B7"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0FCB2F1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2.12.3</w:t>
            </w:r>
          </w:p>
        </w:tc>
        <w:tc>
          <w:tcPr>
            <w:tcW w:w="6867" w:type="dxa"/>
            <w:tcBorders>
              <w:top w:val="nil"/>
              <w:left w:val="nil"/>
              <w:bottom w:val="single" w:sz="4" w:space="0" w:color="auto"/>
              <w:right w:val="single" w:sz="8" w:space="0" w:color="auto"/>
            </w:tcBorders>
            <w:vAlign w:val="center"/>
            <w:hideMark/>
          </w:tcPr>
          <w:p w14:paraId="00D9DF39"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dinámica de reglas, con posibilidad de modificar la lógica sin recompilar (útil en procesos cambiantes).</w:t>
            </w:r>
          </w:p>
        </w:tc>
        <w:tc>
          <w:tcPr>
            <w:tcW w:w="0" w:type="auto"/>
            <w:tcBorders>
              <w:top w:val="nil"/>
              <w:left w:val="nil"/>
              <w:bottom w:val="single" w:sz="4" w:space="0" w:color="auto"/>
              <w:right w:val="single" w:sz="4" w:space="0" w:color="auto"/>
            </w:tcBorders>
            <w:vAlign w:val="center"/>
            <w:hideMark/>
          </w:tcPr>
          <w:p w14:paraId="41552FB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C14B7E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E06783C"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6C4069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2.12.4</w:t>
            </w:r>
          </w:p>
        </w:tc>
        <w:tc>
          <w:tcPr>
            <w:tcW w:w="6867" w:type="dxa"/>
            <w:tcBorders>
              <w:top w:val="nil"/>
              <w:left w:val="nil"/>
              <w:bottom w:val="single" w:sz="4" w:space="0" w:color="auto"/>
              <w:right w:val="single" w:sz="8" w:space="0" w:color="auto"/>
            </w:tcBorders>
            <w:vAlign w:val="center"/>
            <w:hideMark/>
          </w:tcPr>
          <w:p w14:paraId="493C933C"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Simulación o pruebas de reglas antes de ponerlas en producción.</w:t>
            </w:r>
          </w:p>
        </w:tc>
        <w:tc>
          <w:tcPr>
            <w:tcW w:w="0" w:type="auto"/>
            <w:tcBorders>
              <w:top w:val="nil"/>
              <w:left w:val="nil"/>
              <w:bottom w:val="single" w:sz="4" w:space="0" w:color="auto"/>
              <w:right w:val="single" w:sz="4" w:space="0" w:color="auto"/>
            </w:tcBorders>
            <w:vAlign w:val="center"/>
            <w:hideMark/>
          </w:tcPr>
          <w:p w14:paraId="33E945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711B98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E9078E7"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793F5EA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2.12.5</w:t>
            </w:r>
          </w:p>
        </w:tc>
        <w:tc>
          <w:tcPr>
            <w:tcW w:w="6867" w:type="dxa"/>
            <w:tcBorders>
              <w:top w:val="nil"/>
              <w:left w:val="nil"/>
              <w:bottom w:val="single" w:sz="4" w:space="0" w:color="auto"/>
              <w:right w:val="single" w:sz="8" w:space="0" w:color="auto"/>
            </w:tcBorders>
            <w:vAlign w:val="center"/>
            <w:hideMark/>
          </w:tcPr>
          <w:p w14:paraId="0F1E0F3F"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Construcción o ensamblaje previo de los datos que irán a los formularios (por ejemplo, precargar campos con datos del usuario, calcular promedios, generar tablas comparativas).</w:t>
            </w:r>
          </w:p>
        </w:tc>
        <w:tc>
          <w:tcPr>
            <w:tcW w:w="0" w:type="auto"/>
            <w:tcBorders>
              <w:top w:val="nil"/>
              <w:left w:val="nil"/>
              <w:bottom w:val="single" w:sz="4" w:space="0" w:color="auto"/>
              <w:right w:val="single" w:sz="4" w:space="0" w:color="auto"/>
            </w:tcBorders>
            <w:vAlign w:val="center"/>
            <w:hideMark/>
          </w:tcPr>
          <w:p w14:paraId="0F3BA5C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E52839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36BD3CA"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77AFF6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2.12.6</w:t>
            </w:r>
          </w:p>
        </w:tc>
        <w:tc>
          <w:tcPr>
            <w:tcW w:w="6867" w:type="dxa"/>
            <w:tcBorders>
              <w:top w:val="nil"/>
              <w:left w:val="nil"/>
              <w:bottom w:val="single" w:sz="4" w:space="0" w:color="auto"/>
              <w:right w:val="single" w:sz="8" w:space="0" w:color="auto"/>
            </w:tcBorders>
            <w:vAlign w:val="center"/>
            <w:hideMark/>
          </w:tcPr>
          <w:p w14:paraId="54A5B357" w14:textId="77777777" w:rsidR="00160081" w:rsidRPr="00160081" w:rsidRDefault="00160081" w:rsidP="00BD3D91">
            <w:pPr>
              <w:rPr>
                <w:rFonts w:cstheme="minorHAnsi"/>
                <w:color w:val="000000"/>
                <w:sz w:val="20"/>
                <w:szCs w:val="20"/>
              </w:rPr>
            </w:pPr>
            <w:r w:rsidRPr="00160081">
              <w:rPr>
                <w:rFonts w:cstheme="minorHAnsi"/>
                <w:color w:val="000000"/>
                <w:sz w:val="20"/>
                <w:szCs w:val="20"/>
              </w:rPr>
              <w:t>Validaciones previas a la entrega de los datos al formulario (ej. datos inconsistentes o faltantes).</w:t>
            </w:r>
          </w:p>
        </w:tc>
        <w:tc>
          <w:tcPr>
            <w:tcW w:w="0" w:type="auto"/>
            <w:tcBorders>
              <w:top w:val="nil"/>
              <w:left w:val="nil"/>
              <w:bottom w:val="single" w:sz="4" w:space="0" w:color="auto"/>
              <w:right w:val="single" w:sz="4" w:space="0" w:color="auto"/>
            </w:tcBorders>
            <w:vAlign w:val="center"/>
            <w:hideMark/>
          </w:tcPr>
          <w:p w14:paraId="73DDFA0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5CDCE3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F069C93"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3AA8C9B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2.12.7</w:t>
            </w:r>
          </w:p>
        </w:tc>
        <w:tc>
          <w:tcPr>
            <w:tcW w:w="6867" w:type="dxa"/>
            <w:tcBorders>
              <w:top w:val="nil"/>
              <w:left w:val="nil"/>
              <w:bottom w:val="single" w:sz="4" w:space="0" w:color="auto"/>
              <w:right w:val="single" w:sz="8" w:space="0" w:color="auto"/>
            </w:tcBorders>
            <w:vAlign w:val="center"/>
            <w:hideMark/>
          </w:tcPr>
          <w:p w14:paraId="7850644C"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Interfaz amigable para usuarios técnicos y funcionales (diseñadores de procesos, analistas de negocio).</w:t>
            </w:r>
          </w:p>
        </w:tc>
        <w:tc>
          <w:tcPr>
            <w:tcW w:w="0" w:type="auto"/>
            <w:tcBorders>
              <w:top w:val="nil"/>
              <w:left w:val="nil"/>
              <w:bottom w:val="single" w:sz="4" w:space="0" w:color="auto"/>
              <w:right w:val="single" w:sz="4" w:space="0" w:color="auto"/>
            </w:tcBorders>
            <w:vAlign w:val="center"/>
            <w:hideMark/>
          </w:tcPr>
          <w:p w14:paraId="3F24B5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E535C3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B082F98"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BB19C8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2.12.8</w:t>
            </w:r>
          </w:p>
        </w:tc>
        <w:tc>
          <w:tcPr>
            <w:tcW w:w="6867" w:type="dxa"/>
            <w:tcBorders>
              <w:top w:val="nil"/>
              <w:left w:val="nil"/>
              <w:bottom w:val="single" w:sz="4" w:space="0" w:color="auto"/>
              <w:right w:val="single" w:sz="8" w:space="0" w:color="auto"/>
            </w:tcBorders>
            <w:vAlign w:val="center"/>
            <w:hideMark/>
          </w:tcPr>
          <w:p w14:paraId="07CEBAD1" w14:textId="77777777" w:rsidR="00160081" w:rsidRPr="00160081" w:rsidRDefault="00160081" w:rsidP="00BD3D91">
            <w:pPr>
              <w:rPr>
                <w:rFonts w:cstheme="minorHAnsi"/>
                <w:color w:val="000000"/>
                <w:sz w:val="20"/>
                <w:szCs w:val="20"/>
              </w:rPr>
            </w:pPr>
            <w:r w:rsidRPr="00160081">
              <w:rPr>
                <w:rFonts w:cstheme="minorHAnsi"/>
                <w:color w:val="000000"/>
                <w:sz w:val="20"/>
                <w:szCs w:val="20"/>
              </w:rPr>
              <w:t>Editor visual de reglas o transformaciones, sin requerir programación avanzada.</w:t>
            </w:r>
          </w:p>
        </w:tc>
        <w:tc>
          <w:tcPr>
            <w:tcW w:w="0" w:type="auto"/>
            <w:tcBorders>
              <w:top w:val="nil"/>
              <w:left w:val="nil"/>
              <w:bottom w:val="single" w:sz="4" w:space="0" w:color="auto"/>
              <w:right w:val="single" w:sz="4" w:space="0" w:color="auto"/>
            </w:tcBorders>
            <w:vAlign w:val="center"/>
            <w:hideMark/>
          </w:tcPr>
          <w:p w14:paraId="20E19A4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9E757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0FE1867"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5416905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2.12.9</w:t>
            </w:r>
          </w:p>
        </w:tc>
        <w:tc>
          <w:tcPr>
            <w:tcW w:w="6867" w:type="dxa"/>
            <w:tcBorders>
              <w:top w:val="nil"/>
              <w:left w:val="nil"/>
              <w:bottom w:val="single" w:sz="4" w:space="0" w:color="auto"/>
              <w:right w:val="single" w:sz="8" w:space="0" w:color="auto"/>
            </w:tcBorders>
            <w:vAlign w:val="center"/>
            <w:hideMark/>
          </w:tcPr>
          <w:p w14:paraId="00AB52D0" w14:textId="77777777" w:rsidR="00160081" w:rsidRPr="00160081" w:rsidRDefault="00160081" w:rsidP="00BD3D91">
            <w:pPr>
              <w:rPr>
                <w:rFonts w:cstheme="minorHAnsi"/>
                <w:color w:val="000000"/>
                <w:sz w:val="20"/>
                <w:szCs w:val="20"/>
              </w:rPr>
            </w:pPr>
            <w:r w:rsidRPr="00160081">
              <w:rPr>
                <w:rFonts w:cstheme="minorHAnsi"/>
                <w:color w:val="000000"/>
                <w:sz w:val="20"/>
                <w:szCs w:val="20"/>
              </w:rPr>
              <w:t>Documentación automática de reglas, servicios y estructuras de datos generadas.</w:t>
            </w:r>
          </w:p>
        </w:tc>
        <w:tc>
          <w:tcPr>
            <w:tcW w:w="0" w:type="auto"/>
            <w:tcBorders>
              <w:top w:val="nil"/>
              <w:left w:val="nil"/>
              <w:bottom w:val="single" w:sz="4" w:space="0" w:color="auto"/>
              <w:right w:val="single" w:sz="4" w:space="0" w:color="auto"/>
            </w:tcBorders>
            <w:vAlign w:val="center"/>
            <w:hideMark/>
          </w:tcPr>
          <w:p w14:paraId="4794B1C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E76072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ACB3432"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2EFACC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2.13</w:t>
            </w:r>
          </w:p>
        </w:tc>
        <w:tc>
          <w:tcPr>
            <w:tcW w:w="6867" w:type="dxa"/>
            <w:tcBorders>
              <w:top w:val="nil"/>
              <w:left w:val="nil"/>
              <w:bottom w:val="single" w:sz="4" w:space="0" w:color="auto"/>
              <w:right w:val="single" w:sz="8" w:space="0" w:color="auto"/>
            </w:tcBorders>
            <w:vAlign w:val="center"/>
            <w:hideMark/>
          </w:tcPr>
          <w:p w14:paraId="668D0D4E"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Debe contar con un motor de reglas de negocio nativo y permitir la integración con motor de reglas </w:t>
            </w:r>
            <w:proofErr w:type="gramStart"/>
            <w:r w:rsidRPr="00160081">
              <w:rPr>
                <w:rFonts w:cstheme="minorHAnsi"/>
                <w:color w:val="000000"/>
                <w:sz w:val="20"/>
                <w:szCs w:val="20"/>
              </w:rPr>
              <w:t>externos,  debe</w:t>
            </w:r>
            <w:proofErr w:type="gramEnd"/>
            <w:r w:rsidRPr="00160081">
              <w:rPr>
                <w:rFonts w:cstheme="minorHAnsi"/>
                <w:color w:val="000000"/>
                <w:sz w:val="20"/>
                <w:szCs w:val="20"/>
              </w:rPr>
              <w:t xml:space="preserve"> permitir definir condiciones, cálculos, validaciones o fórmulas sin necesidad de código duro.</w:t>
            </w:r>
          </w:p>
        </w:tc>
        <w:tc>
          <w:tcPr>
            <w:tcW w:w="0" w:type="auto"/>
            <w:tcBorders>
              <w:top w:val="nil"/>
              <w:left w:val="nil"/>
              <w:bottom w:val="single" w:sz="4" w:space="0" w:color="auto"/>
              <w:right w:val="single" w:sz="4" w:space="0" w:color="auto"/>
            </w:tcBorders>
            <w:vAlign w:val="center"/>
            <w:hideMark/>
          </w:tcPr>
          <w:p w14:paraId="4C4459D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5376FD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62D2FD5"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109E43F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2.14</w:t>
            </w:r>
          </w:p>
        </w:tc>
        <w:tc>
          <w:tcPr>
            <w:tcW w:w="6867" w:type="dxa"/>
            <w:tcBorders>
              <w:top w:val="nil"/>
              <w:left w:val="nil"/>
              <w:bottom w:val="single" w:sz="4" w:space="0" w:color="auto"/>
              <w:right w:val="single" w:sz="8" w:space="0" w:color="auto"/>
            </w:tcBorders>
            <w:vAlign w:val="center"/>
            <w:hideMark/>
          </w:tcPr>
          <w:p w14:paraId="22A17667" w14:textId="77777777" w:rsidR="00160081" w:rsidRPr="00160081" w:rsidRDefault="00160081" w:rsidP="00BD3D91">
            <w:pPr>
              <w:rPr>
                <w:rFonts w:cstheme="minorHAnsi"/>
                <w:color w:val="000000"/>
                <w:sz w:val="20"/>
                <w:szCs w:val="20"/>
              </w:rPr>
            </w:pPr>
            <w:r w:rsidRPr="00160081">
              <w:rPr>
                <w:rFonts w:cstheme="minorHAnsi"/>
                <w:color w:val="000000"/>
                <w:sz w:val="20"/>
                <w:szCs w:val="20"/>
              </w:rPr>
              <w:t>Deberá gestionar roles, grupos, colas y reglas de enrutamiento; soportar asignación automática y manual por carga, especialidad, prioridad, SLA y tipo de caso, entre otros; que sea parametrizable sin necesidad de programación.</w:t>
            </w:r>
          </w:p>
        </w:tc>
        <w:tc>
          <w:tcPr>
            <w:tcW w:w="0" w:type="auto"/>
            <w:tcBorders>
              <w:top w:val="nil"/>
              <w:left w:val="nil"/>
              <w:bottom w:val="single" w:sz="4" w:space="0" w:color="auto"/>
              <w:right w:val="single" w:sz="4" w:space="0" w:color="auto"/>
            </w:tcBorders>
            <w:vAlign w:val="center"/>
            <w:hideMark/>
          </w:tcPr>
          <w:p w14:paraId="27481EF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4D7CF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E2CC95A"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7E90C96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2.15</w:t>
            </w:r>
          </w:p>
        </w:tc>
        <w:tc>
          <w:tcPr>
            <w:tcW w:w="6867" w:type="dxa"/>
            <w:tcBorders>
              <w:top w:val="nil"/>
              <w:left w:val="nil"/>
              <w:bottom w:val="single" w:sz="4" w:space="0" w:color="auto"/>
              <w:right w:val="single" w:sz="8" w:space="0" w:color="auto"/>
            </w:tcBorders>
            <w:vAlign w:val="center"/>
            <w:hideMark/>
          </w:tcPr>
          <w:p w14:paraId="138A87A0"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BPMS deberá ofrecer conectores nativos o parametrizables a gestores documentales (CMIS/REST) para carga/consulta/versionado/adjunto de evidencias; soportar PDF, DOCX, XLSX, ZIP; garantizar control de versiones y metadatos. e integración con el Generador de documentos.</w:t>
            </w:r>
          </w:p>
        </w:tc>
        <w:tc>
          <w:tcPr>
            <w:tcW w:w="0" w:type="auto"/>
            <w:tcBorders>
              <w:top w:val="nil"/>
              <w:left w:val="nil"/>
              <w:bottom w:val="single" w:sz="4" w:space="0" w:color="auto"/>
              <w:right w:val="single" w:sz="4" w:space="0" w:color="auto"/>
            </w:tcBorders>
            <w:vAlign w:val="center"/>
            <w:hideMark/>
          </w:tcPr>
          <w:p w14:paraId="4481C27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410F2C8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BA6C1B5"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735816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2.16</w:t>
            </w:r>
          </w:p>
        </w:tc>
        <w:tc>
          <w:tcPr>
            <w:tcW w:w="6867" w:type="dxa"/>
            <w:tcBorders>
              <w:top w:val="nil"/>
              <w:left w:val="nil"/>
              <w:bottom w:val="single" w:sz="4" w:space="0" w:color="auto"/>
              <w:right w:val="single" w:sz="8" w:space="0" w:color="auto"/>
            </w:tcBorders>
            <w:vAlign w:val="center"/>
            <w:hideMark/>
          </w:tcPr>
          <w:p w14:paraId="7AB10721" w14:textId="77777777" w:rsidR="00160081" w:rsidRPr="00160081" w:rsidRDefault="00160081" w:rsidP="00BD3D91">
            <w:pPr>
              <w:rPr>
                <w:rFonts w:cstheme="minorHAnsi"/>
                <w:color w:val="000000"/>
                <w:sz w:val="20"/>
                <w:szCs w:val="20"/>
              </w:rPr>
            </w:pPr>
            <w:r w:rsidRPr="00160081">
              <w:rPr>
                <w:rFonts w:cstheme="minorHAnsi"/>
                <w:color w:val="000000"/>
                <w:sz w:val="20"/>
                <w:szCs w:val="20"/>
              </w:rPr>
              <w:t>Importación y Conversión Automática de Diagramas de Procesos Externos a notación BPMN.</w:t>
            </w:r>
          </w:p>
        </w:tc>
        <w:tc>
          <w:tcPr>
            <w:tcW w:w="0" w:type="auto"/>
            <w:tcBorders>
              <w:top w:val="nil"/>
              <w:left w:val="nil"/>
              <w:bottom w:val="single" w:sz="4" w:space="0" w:color="auto"/>
              <w:right w:val="single" w:sz="4" w:space="0" w:color="auto"/>
            </w:tcBorders>
            <w:vAlign w:val="center"/>
            <w:hideMark/>
          </w:tcPr>
          <w:p w14:paraId="746B733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593043D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34E7DDE"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3761FE3E" w14:textId="77777777" w:rsidR="00160081" w:rsidRPr="00160081" w:rsidRDefault="00160081" w:rsidP="00BD3D91">
            <w:pPr>
              <w:jc w:val="center"/>
              <w:rPr>
                <w:rFonts w:cstheme="minorHAnsi"/>
                <w:b/>
                <w:bCs/>
                <w:sz w:val="20"/>
                <w:szCs w:val="20"/>
              </w:rPr>
            </w:pPr>
            <w:r w:rsidRPr="00160081">
              <w:rPr>
                <w:rFonts w:cstheme="minorHAnsi"/>
                <w:b/>
                <w:bCs/>
                <w:sz w:val="20"/>
                <w:szCs w:val="20"/>
              </w:rPr>
              <w:t>3</w:t>
            </w:r>
          </w:p>
        </w:tc>
        <w:tc>
          <w:tcPr>
            <w:tcW w:w="6867" w:type="dxa"/>
            <w:tcBorders>
              <w:top w:val="nil"/>
              <w:left w:val="nil"/>
              <w:bottom w:val="single" w:sz="4" w:space="0" w:color="auto"/>
              <w:right w:val="single" w:sz="8" w:space="0" w:color="auto"/>
            </w:tcBorders>
            <w:shd w:val="clear" w:color="000000" w:fill="E6E6E6"/>
            <w:vAlign w:val="center"/>
            <w:hideMark/>
          </w:tcPr>
          <w:p w14:paraId="456360EC" w14:textId="77777777" w:rsidR="00160081" w:rsidRPr="00160081" w:rsidRDefault="00160081" w:rsidP="00BD3D91">
            <w:pPr>
              <w:rPr>
                <w:rFonts w:cstheme="minorHAnsi"/>
                <w:b/>
                <w:bCs/>
                <w:sz w:val="20"/>
                <w:szCs w:val="20"/>
              </w:rPr>
            </w:pPr>
            <w:r w:rsidRPr="00160081">
              <w:rPr>
                <w:rFonts w:cstheme="minorHAnsi"/>
                <w:b/>
                <w:bCs/>
                <w:sz w:val="20"/>
                <w:szCs w:val="20"/>
              </w:rPr>
              <w:t xml:space="preserve">COMPONENTES QUE PERMITAN LA INTEGRACIÓN CON OTROS COMPONENTES TECNOLÓGICOS </w:t>
            </w:r>
          </w:p>
        </w:tc>
        <w:tc>
          <w:tcPr>
            <w:tcW w:w="0" w:type="auto"/>
            <w:tcBorders>
              <w:top w:val="nil"/>
              <w:left w:val="nil"/>
              <w:bottom w:val="single" w:sz="4" w:space="0" w:color="auto"/>
              <w:right w:val="single" w:sz="4" w:space="0" w:color="auto"/>
            </w:tcBorders>
            <w:shd w:val="clear" w:color="000000" w:fill="E6E6E6"/>
            <w:vAlign w:val="center"/>
            <w:hideMark/>
          </w:tcPr>
          <w:p w14:paraId="108A13C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1C249AA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32EB0664"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353F8F2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3.1</w:t>
            </w:r>
          </w:p>
        </w:tc>
        <w:tc>
          <w:tcPr>
            <w:tcW w:w="6867" w:type="dxa"/>
            <w:tcBorders>
              <w:top w:val="nil"/>
              <w:left w:val="nil"/>
              <w:bottom w:val="single" w:sz="4" w:space="0" w:color="auto"/>
              <w:right w:val="single" w:sz="8" w:space="0" w:color="auto"/>
            </w:tcBorders>
            <w:vAlign w:val="center"/>
            <w:hideMark/>
          </w:tcPr>
          <w:p w14:paraId="6262CAE4"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Integración con alertas y avisos (Permite generar y enviar comunicados o alertas a usuarios internos/ externos cuando el proceso lo requiera. Permite enviar configurar notificaciones personalizadas vía correo electrónico y/o SMS sin requerir programación).</w:t>
            </w:r>
          </w:p>
        </w:tc>
        <w:tc>
          <w:tcPr>
            <w:tcW w:w="0" w:type="auto"/>
            <w:tcBorders>
              <w:top w:val="nil"/>
              <w:left w:val="nil"/>
              <w:bottom w:val="single" w:sz="4" w:space="0" w:color="auto"/>
              <w:right w:val="single" w:sz="4" w:space="0" w:color="auto"/>
            </w:tcBorders>
            <w:vAlign w:val="center"/>
            <w:hideMark/>
          </w:tcPr>
          <w:p w14:paraId="030E67D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5AB37DB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4B74744"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7D60EF2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3.2</w:t>
            </w:r>
          </w:p>
        </w:tc>
        <w:tc>
          <w:tcPr>
            <w:tcW w:w="6867" w:type="dxa"/>
            <w:tcBorders>
              <w:top w:val="nil"/>
              <w:left w:val="nil"/>
              <w:bottom w:val="single" w:sz="4" w:space="0" w:color="auto"/>
              <w:right w:val="single" w:sz="8" w:space="0" w:color="auto"/>
            </w:tcBorders>
            <w:vAlign w:val="center"/>
            <w:hideMark/>
          </w:tcPr>
          <w:p w14:paraId="0AC4DB82" w14:textId="77777777" w:rsidR="00160081" w:rsidRPr="00160081" w:rsidRDefault="00160081" w:rsidP="00BD3D91">
            <w:pPr>
              <w:rPr>
                <w:rFonts w:cstheme="minorHAnsi"/>
                <w:sz w:val="20"/>
                <w:szCs w:val="20"/>
              </w:rPr>
            </w:pPr>
            <w:r w:rsidRPr="00160081">
              <w:rPr>
                <w:rFonts w:cstheme="minorHAnsi"/>
                <w:sz w:val="20"/>
                <w:szCs w:val="20"/>
              </w:rPr>
              <w:t>Integración en el consumo de resultados generados o como proveedor de datos de soluciones de Inteligencia Artificial.</w:t>
            </w:r>
          </w:p>
        </w:tc>
        <w:tc>
          <w:tcPr>
            <w:tcW w:w="0" w:type="auto"/>
            <w:tcBorders>
              <w:top w:val="nil"/>
              <w:left w:val="nil"/>
              <w:bottom w:val="single" w:sz="4" w:space="0" w:color="auto"/>
              <w:right w:val="single" w:sz="4" w:space="0" w:color="auto"/>
            </w:tcBorders>
            <w:vAlign w:val="center"/>
            <w:hideMark/>
          </w:tcPr>
          <w:p w14:paraId="3D25C06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C52EF6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66871EC"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635D7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3.3</w:t>
            </w:r>
          </w:p>
        </w:tc>
        <w:tc>
          <w:tcPr>
            <w:tcW w:w="6867" w:type="dxa"/>
            <w:tcBorders>
              <w:top w:val="nil"/>
              <w:left w:val="nil"/>
              <w:bottom w:val="single" w:sz="4" w:space="0" w:color="auto"/>
              <w:right w:val="single" w:sz="8" w:space="0" w:color="auto"/>
            </w:tcBorders>
            <w:vAlign w:val="center"/>
            <w:hideMark/>
          </w:tcPr>
          <w:p w14:paraId="1A98C3CF" w14:textId="77777777" w:rsidR="00160081" w:rsidRPr="00160081" w:rsidRDefault="00160081" w:rsidP="00BD3D91">
            <w:pPr>
              <w:rPr>
                <w:rFonts w:cstheme="minorHAnsi"/>
                <w:sz w:val="20"/>
                <w:szCs w:val="20"/>
              </w:rPr>
            </w:pPr>
            <w:r w:rsidRPr="00160081">
              <w:rPr>
                <w:rFonts w:cstheme="minorHAnsi"/>
                <w:sz w:val="20"/>
                <w:szCs w:val="20"/>
              </w:rPr>
              <w:t>Integración con Herramienta RPA lideres del mercado para automatización avanzada.</w:t>
            </w:r>
          </w:p>
        </w:tc>
        <w:tc>
          <w:tcPr>
            <w:tcW w:w="0" w:type="auto"/>
            <w:tcBorders>
              <w:top w:val="nil"/>
              <w:left w:val="nil"/>
              <w:bottom w:val="single" w:sz="4" w:space="0" w:color="auto"/>
              <w:right w:val="single" w:sz="4" w:space="0" w:color="auto"/>
            </w:tcBorders>
            <w:vAlign w:val="center"/>
            <w:hideMark/>
          </w:tcPr>
          <w:p w14:paraId="719C972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F60249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A8A6BB8"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FE7460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3.4</w:t>
            </w:r>
          </w:p>
        </w:tc>
        <w:tc>
          <w:tcPr>
            <w:tcW w:w="6867" w:type="dxa"/>
            <w:tcBorders>
              <w:top w:val="nil"/>
              <w:left w:val="nil"/>
              <w:bottom w:val="single" w:sz="4" w:space="0" w:color="auto"/>
              <w:right w:val="single" w:sz="8" w:space="0" w:color="auto"/>
            </w:tcBorders>
            <w:vAlign w:val="center"/>
            <w:hideMark/>
          </w:tcPr>
          <w:p w14:paraId="56752A9E"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Permite la integración basada en </w:t>
            </w:r>
            <w:proofErr w:type="spellStart"/>
            <w:r w:rsidRPr="00160081">
              <w:rPr>
                <w:rFonts w:cstheme="minorHAnsi"/>
                <w:color w:val="000000"/>
                <w:sz w:val="20"/>
                <w:szCs w:val="20"/>
              </w:rPr>
              <w:t>WebServices</w:t>
            </w:r>
            <w:proofErr w:type="spellEnd"/>
            <w:r w:rsidRPr="00160081">
              <w:rPr>
                <w:rFonts w:cstheme="minorHAnsi"/>
                <w:color w:val="000000"/>
                <w:sz w:val="20"/>
                <w:szCs w:val="20"/>
              </w:rPr>
              <w:t xml:space="preserve"> SOAP y REST mediante conectores nativos.</w:t>
            </w:r>
          </w:p>
        </w:tc>
        <w:tc>
          <w:tcPr>
            <w:tcW w:w="0" w:type="auto"/>
            <w:tcBorders>
              <w:top w:val="nil"/>
              <w:left w:val="nil"/>
              <w:bottom w:val="single" w:sz="4" w:space="0" w:color="auto"/>
              <w:right w:val="single" w:sz="4" w:space="0" w:color="auto"/>
            </w:tcBorders>
            <w:vAlign w:val="center"/>
            <w:hideMark/>
          </w:tcPr>
          <w:p w14:paraId="67F0C73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B175E5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7A3457D"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5B535C5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3.5</w:t>
            </w:r>
          </w:p>
        </w:tc>
        <w:tc>
          <w:tcPr>
            <w:tcW w:w="6867" w:type="dxa"/>
            <w:tcBorders>
              <w:top w:val="nil"/>
              <w:left w:val="nil"/>
              <w:bottom w:val="single" w:sz="4" w:space="0" w:color="auto"/>
              <w:right w:val="single" w:sz="8" w:space="0" w:color="auto"/>
            </w:tcBorders>
            <w:vAlign w:val="center"/>
            <w:hideMark/>
          </w:tcPr>
          <w:p w14:paraId="28096D8A" w14:textId="77777777" w:rsidR="00160081" w:rsidRPr="00160081" w:rsidRDefault="00160081" w:rsidP="00BD3D91">
            <w:pPr>
              <w:rPr>
                <w:rFonts w:cstheme="minorHAnsi"/>
                <w:color w:val="000000"/>
                <w:sz w:val="20"/>
                <w:szCs w:val="20"/>
              </w:rPr>
            </w:pPr>
            <w:r w:rsidRPr="00160081">
              <w:rPr>
                <w:rFonts w:cstheme="minorHAnsi"/>
                <w:color w:val="000000"/>
                <w:sz w:val="20"/>
                <w:szCs w:val="20"/>
              </w:rPr>
              <w:t>Cuenta con Conector hacia plataformas de OCR que permitan convertir imágenes, escritura a mano o documentos impresos en texto codificado, de modo que pueda utilizar esa información en sus procesos automatizados.</w:t>
            </w:r>
          </w:p>
        </w:tc>
        <w:tc>
          <w:tcPr>
            <w:tcW w:w="0" w:type="auto"/>
            <w:tcBorders>
              <w:top w:val="nil"/>
              <w:left w:val="nil"/>
              <w:bottom w:val="single" w:sz="4" w:space="0" w:color="auto"/>
              <w:right w:val="single" w:sz="4" w:space="0" w:color="auto"/>
            </w:tcBorders>
            <w:vAlign w:val="center"/>
            <w:hideMark/>
          </w:tcPr>
          <w:p w14:paraId="0CBC00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2358FB0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E1A82AB" w14:textId="77777777" w:rsidTr="00CA02A6">
        <w:trPr>
          <w:trHeight w:val="960"/>
        </w:trPr>
        <w:tc>
          <w:tcPr>
            <w:tcW w:w="0" w:type="auto"/>
            <w:tcBorders>
              <w:top w:val="nil"/>
              <w:left w:val="single" w:sz="8" w:space="0" w:color="auto"/>
              <w:bottom w:val="single" w:sz="4" w:space="0" w:color="auto"/>
              <w:right w:val="single" w:sz="4" w:space="0" w:color="auto"/>
            </w:tcBorders>
            <w:vAlign w:val="center"/>
            <w:hideMark/>
          </w:tcPr>
          <w:p w14:paraId="3DAD8F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3.6</w:t>
            </w:r>
          </w:p>
        </w:tc>
        <w:tc>
          <w:tcPr>
            <w:tcW w:w="6867" w:type="dxa"/>
            <w:tcBorders>
              <w:top w:val="nil"/>
              <w:left w:val="nil"/>
              <w:bottom w:val="single" w:sz="4" w:space="0" w:color="auto"/>
              <w:right w:val="single" w:sz="8" w:space="0" w:color="auto"/>
            </w:tcBorders>
            <w:vAlign w:val="center"/>
            <w:hideMark/>
          </w:tcPr>
          <w:p w14:paraId="465D3EA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la integración nativa con el correo electrónico institucional para la creación de casos de manera automática (envío/recepción de notificaciones, captura automática de correos como evidencias en casos, correlación por ID de caso y trazabilidad) y sin requerir programación, ni productos adicionales.</w:t>
            </w:r>
          </w:p>
        </w:tc>
        <w:tc>
          <w:tcPr>
            <w:tcW w:w="0" w:type="auto"/>
            <w:tcBorders>
              <w:top w:val="nil"/>
              <w:left w:val="nil"/>
              <w:bottom w:val="single" w:sz="4" w:space="0" w:color="auto"/>
              <w:right w:val="single" w:sz="4" w:space="0" w:color="auto"/>
            </w:tcBorders>
            <w:vAlign w:val="center"/>
            <w:hideMark/>
          </w:tcPr>
          <w:p w14:paraId="023858B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46AF4C9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DAA9241"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6A13B8F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3.7</w:t>
            </w:r>
          </w:p>
        </w:tc>
        <w:tc>
          <w:tcPr>
            <w:tcW w:w="6867" w:type="dxa"/>
            <w:tcBorders>
              <w:top w:val="nil"/>
              <w:left w:val="nil"/>
              <w:bottom w:val="single" w:sz="4" w:space="0" w:color="auto"/>
              <w:right w:val="single" w:sz="8" w:space="0" w:color="auto"/>
            </w:tcBorders>
            <w:vAlign w:val="center"/>
            <w:hideMark/>
          </w:tcPr>
          <w:p w14:paraId="11AC4D61"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Integración con formularios o pantallas creadas fuera del generador de formularios nativo del BPMS</w:t>
            </w:r>
          </w:p>
        </w:tc>
        <w:tc>
          <w:tcPr>
            <w:tcW w:w="0" w:type="auto"/>
            <w:tcBorders>
              <w:top w:val="nil"/>
              <w:left w:val="nil"/>
              <w:bottom w:val="single" w:sz="4" w:space="0" w:color="auto"/>
              <w:right w:val="single" w:sz="4" w:space="0" w:color="auto"/>
            </w:tcBorders>
            <w:vAlign w:val="center"/>
            <w:hideMark/>
          </w:tcPr>
          <w:p w14:paraId="1A212DB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5E2ECF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C7C17DA"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43B9BA7A" w14:textId="77777777" w:rsidR="00160081" w:rsidRPr="00160081" w:rsidRDefault="00160081" w:rsidP="00BD3D91">
            <w:pPr>
              <w:jc w:val="center"/>
              <w:rPr>
                <w:rFonts w:cstheme="minorHAnsi"/>
                <w:b/>
                <w:bCs/>
                <w:sz w:val="20"/>
                <w:szCs w:val="20"/>
              </w:rPr>
            </w:pPr>
            <w:r w:rsidRPr="00160081">
              <w:rPr>
                <w:rFonts w:cstheme="minorHAnsi"/>
                <w:b/>
                <w:bCs/>
                <w:sz w:val="20"/>
                <w:szCs w:val="20"/>
              </w:rPr>
              <w:t>4</w:t>
            </w:r>
          </w:p>
        </w:tc>
        <w:tc>
          <w:tcPr>
            <w:tcW w:w="6867" w:type="dxa"/>
            <w:tcBorders>
              <w:top w:val="nil"/>
              <w:left w:val="nil"/>
              <w:bottom w:val="single" w:sz="4" w:space="0" w:color="auto"/>
              <w:right w:val="single" w:sz="8" w:space="0" w:color="auto"/>
            </w:tcBorders>
            <w:shd w:val="clear" w:color="000000" w:fill="E6E6E6"/>
            <w:vAlign w:val="center"/>
            <w:hideMark/>
          </w:tcPr>
          <w:p w14:paraId="4733C5B1" w14:textId="77777777" w:rsidR="00160081" w:rsidRPr="00160081" w:rsidRDefault="00160081" w:rsidP="00BD3D91">
            <w:pPr>
              <w:rPr>
                <w:rFonts w:cstheme="minorHAnsi"/>
                <w:b/>
                <w:bCs/>
                <w:sz w:val="20"/>
                <w:szCs w:val="20"/>
              </w:rPr>
            </w:pPr>
            <w:r w:rsidRPr="00160081">
              <w:rPr>
                <w:rFonts w:cstheme="minorHAnsi"/>
                <w:b/>
                <w:bCs/>
                <w:sz w:val="20"/>
                <w:szCs w:val="20"/>
              </w:rPr>
              <w:t>COMPONENTE DE ADMINISTRACIÓN</w:t>
            </w:r>
          </w:p>
        </w:tc>
        <w:tc>
          <w:tcPr>
            <w:tcW w:w="0" w:type="auto"/>
            <w:tcBorders>
              <w:top w:val="nil"/>
              <w:left w:val="nil"/>
              <w:bottom w:val="single" w:sz="4" w:space="0" w:color="auto"/>
              <w:right w:val="single" w:sz="4" w:space="0" w:color="auto"/>
            </w:tcBorders>
            <w:shd w:val="clear" w:color="000000" w:fill="E6E6E6"/>
            <w:vAlign w:val="center"/>
            <w:hideMark/>
          </w:tcPr>
          <w:p w14:paraId="2833FC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6D63107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40FE65A4"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0FABBFA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4.1</w:t>
            </w:r>
          </w:p>
        </w:tc>
        <w:tc>
          <w:tcPr>
            <w:tcW w:w="6867" w:type="dxa"/>
            <w:tcBorders>
              <w:top w:val="nil"/>
              <w:left w:val="nil"/>
              <w:bottom w:val="single" w:sz="4" w:space="0" w:color="auto"/>
              <w:right w:val="single" w:sz="8" w:space="0" w:color="auto"/>
            </w:tcBorders>
            <w:vAlign w:val="center"/>
            <w:hideMark/>
          </w:tcPr>
          <w:p w14:paraId="4AE4C2CF"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Administración de accesos basados en roles y perfiles sincronizados a la herramienta IDM institucional.</w:t>
            </w:r>
          </w:p>
        </w:tc>
        <w:tc>
          <w:tcPr>
            <w:tcW w:w="0" w:type="auto"/>
            <w:tcBorders>
              <w:top w:val="nil"/>
              <w:left w:val="nil"/>
              <w:bottom w:val="single" w:sz="4" w:space="0" w:color="auto"/>
              <w:right w:val="single" w:sz="4" w:space="0" w:color="auto"/>
            </w:tcBorders>
            <w:vAlign w:val="center"/>
            <w:hideMark/>
          </w:tcPr>
          <w:p w14:paraId="4512682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E334C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A77AED7"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A8E11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4.2</w:t>
            </w:r>
          </w:p>
        </w:tc>
        <w:tc>
          <w:tcPr>
            <w:tcW w:w="6867" w:type="dxa"/>
            <w:tcBorders>
              <w:top w:val="nil"/>
              <w:left w:val="nil"/>
              <w:bottom w:val="single" w:sz="4" w:space="0" w:color="auto"/>
              <w:right w:val="single" w:sz="8" w:space="0" w:color="auto"/>
            </w:tcBorders>
            <w:vAlign w:val="center"/>
            <w:hideMark/>
          </w:tcPr>
          <w:p w14:paraId="374ED645"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Administración de la autorización de los flujos basados en roles por procesos.</w:t>
            </w:r>
          </w:p>
        </w:tc>
        <w:tc>
          <w:tcPr>
            <w:tcW w:w="0" w:type="auto"/>
            <w:tcBorders>
              <w:top w:val="nil"/>
              <w:left w:val="nil"/>
              <w:bottom w:val="single" w:sz="4" w:space="0" w:color="auto"/>
              <w:right w:val="single" w:sz="4" w:space="0" w:color="auto"/>
            </w:tcBorders>
            <w:vAlign w:val="center"/>
            <w:hideMark/>
          </w:tcPr>
          <w:p w14:paraId="667EF06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2ED9895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752A0A3"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0C7B6A3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4.3</w:t>
            </w:r>
          </w:p>
        </w:tc>
        <w:tc>
          <w:tcPr>
            <w:tcW w:w="6867" w:type="dxa"/>
            <w:tcBorders>
              <w:top w:val="nil"/>
              <w:left w:val="nil"/>
              <w:bottom w:val="single" w:sz="4" w:space="0" w:color="auto"/>
              <w:right w:val="single" w:sz="8" w:space="0" w:color="auto"/>
            </w:tcBorders>
            <w:vAlign w:val="center"/>
            <w:hideMark/>
          </w:tcPr>
          <w:p w14:paraId="75A5857B"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Administración de parámetros a nivel de flujo y actividades.</w:t>
            </w:r>
          </w:p>
        </w:tc>
        <w:tc>
          <w:tcPr>
            <w:tcW w:w="0" w:type="auto"/>
            <w:tcBorders>
              <w:top w:val="nil"/>
              <w:left w:val="nil"/>
              <w:bottom w:val="single" w:sz="4" w:space="0" w:color="auto"/>
              <w:right w:val="single" w:sz="4" w:space="0" w:color="auto"/>
            </w:tcBorders>
            <w:vAlign w:val="center"/>
            <w:hideMark/>
          </w:tcPr>
          <w:p w14:paraId="69FEBBE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C7BE0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EB95A26"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67E98C3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4.4</w:t>
            </w:r>
          </w:p>
        </w:tc>
        <w:tc>
          <w:tcPr>
            <w:tcW w:w="6867" w:type="dxa"/>
            <w:tcBorders>
              <w:top w:val="nil"/>
              <w:left w:val="nil"/>
              <w:bottom w:val="single" w:sz="4" w:space="0" w:color="auto"/>
              <w:right w:val="single" w:sz="8" w:space="0" w:color="auto"/>
            </w:tcBorders>
            <w:vAlign w:val="center"/>
            <w:hideMark/>
          </w:tcPr>
          <w:p w14:paraId="05B5159E"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Administración de variables a nivel de aplicativo, flujo y actividades.</w:t>
            </w:r>
          </w:p>
        </w:tc>
        <w:tc>
          <w:tcPr>
            <w:tcW w:w="0" w:type="auto"/>
            <w:tcBorders>
              <w:top w:val="nil"/>
              <w:left w:val="nil"/>
              <w:bottom w:val="single" w:sz="4" w:space="0" w:color="auto"/>
              <w:right w:val="single" w:sz="4" w:space="0" w:color="auto"/>
            </w:tcBorders>
            <w:vAlign w:val="center"/>
            <w:hideMark/>
          </w:tcPr>
          <w:p w14:paraId="0F0AF6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2A4937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6D4C2B8"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57C4468F" w14:textId="77777777" w:rsidR="00160081" w:rsidRPr="00160081" w:rsidRDefault="00160081" w:rsidP="00BD3D91">
            <w:pPr>
              <w:jc w:val="center"/>
              <w:rPr>
                <w:rFonts w:cstheme="minorHAnsi"/>
                <w:b/>
                <w:bCs/>
                <w:sz w:val="20"/>
                <w:szCs w:val="20"/>
              </w:rPr>
            </w:pPr>
            <w:r w:rsidRPr="00160081">
              <w:rPr>
                <w:rFonts w:cstheme="minorHAnsi"/>
                <w:b/>
                <w:bCs/>
                <w:sz w:val="20"/>
                <w:szCs w:val="20"/>
              </w:rPr>
              <w:t>5</w:t>
            </w:r>
          </w:p>
        </w:tc>
        <w:tc>
          <w:tcPr>
            <w:tcW w:w="6867" w:type="dxa"/>
            <w:tcBorders>
              <w:top w:val="nil"/>
              <w:left w:val="nil"/>
              <w:bottom w:val="single" w:sz="4" w:space="0" w:color="auto"/>
              <w:right w:val="single" w:sz="8" w:space="0" w:color="auto"/>
            </w:tcBorders>
            <w:shd w:val="clear" w:color="000000" w:fill="E6E6E6"/>
            <w:vAlign w:val="center"/>
            <w:hideMark/>
          </w:tcPr>
          <w:p w14:paraId="1FD3C560" w14:textId="77777777" w:rsidR="00160081" w:rsidRPr="00160081" w:rsidRDefault="00160081" w:rsidP="00BD3D91">
            <w:pPr>
              <w:rPr>
                <w:rFonts w:cstheme="minorHAnsi"/>
                <w:b/>
                <w:bCs/>
                <w:sz w:val="20"/>
                <w:szCs w:val="20"/>
              </w:rPr>
            </w:pPr>
            <w:r w:rsidRPr="00160081">
              <w:rPr>
                <w:rFonts w:cstheme="minorHAnsi"/>
                <w:b/>
                <w:bCs/>
                <w:sz w:val="20"/>
                <w:szCs w:val="20"/>
              </w:rPr>
              <w:t>PORTAL O BANDEJA DE ENTRADA</w:t>
            </w:r>
          </w:p>
        </w:tc>
        <w:tc>
          <w:tcPr>
            <w:tcW w:w="0" w:type="auto"/>
            <w:tcBorders>
              <w:top w:val="nil"/>
              <w:left w:val="nil"/>
              <w:bottom w:val="single" w:sz="4" w:space="0" w:color="auto"/>
              <w:right w:val="single" w:sz="4" w:space="0" w:color="auto"/>
            </w:tcBorders>
            <w:shd w:val="clear" w:color="000000" w:fill="E6E6E6"/>
            <w:vAlign w:val="center"/>
            <w:hideMark/>
          </w:tcPr>
          <w:p w14:paraId="1A47BD2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4D3073B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084A1E49"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B3EFB5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5.1</w:t>
            </w:r>
          </w:p>
        </w:tc>
        <w:tc>
          <w:tcPr>
            <w:tcW w:w="6867" w:type="dxa"/>
            <w:tcBorders>
              <w:top w:val="nil"/>
              <w:left w:val="nil"/>
              <w:bottom w:val="single" w:sz="4" w:space="0" w:color="auto"/>
              <w:right w:val="single" w:sz="8" w:space="0" w:color="auto"/>
            </w:tcBorders>
            <w:vAlign w:val="center"/>
            <w:hideMark/>
          </w:tcPr>
          <w:p w14:paraId="7A3DF58D" w14:textId="77777777" w:rsidR="00160081" w:rsidRPr="00160081" w:rsidRDefault="00160081" w:rsidP="00BD3D91">
            <w:pPr>
              <w:rPr>
                <w:rFonts w:cstheme="minorHAnsi"/>
                <w:color w:val="000000"/>
                <w:sz w:val="20"/>
                <w:szCs w:val="20"/>
              </w:rPr>
            </w:pPr>
            <w:r w:rsidRPr="00160081">
              <w:rPr>
                <w:rFonts w:cstheme="minorHAnsi"/>
                <w:color w:val="000000"/>
                <w:sz w:val="20"/>
                <w:szCs w:val="20"/>
              </w:rPr>
              <w:t>Visualización y distribución de tareas.</w:t>
            </w:r>
          </w:p>
        </w:tc>
        <w:tc>
          <w:tcPr>
            <w:tcW w:w="0" w:type="auto"/>
            <w:tcBorders>
              <w:top w:val="nil"/>
              <w:left w:val="nil"/>
              <w:bottom w:val="single" w:sz="4" w:space="0" w:color="auto"/>
              <w:right w:val="single" w:sz="4" w:space="0" w:color="auto"/>
            </w:tcBorders>
            <w:vAlign w:val="center"/>
            <w:hideMark/>
          </w:tcPr>
          <w:p w14:paraId="3602091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723ED0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C9F137D"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E78951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5.2</w:t>
            </w:r>
          </w:p>
        </w:tc>
        <w:tc>
          <w:tcPr>
            <w:tcW w:w="6867" w:type="dxa"/>
            <w:tcBorders>
              <w:top w:val="nil"/>
              <w:left w:val="nil"/>
              <w:bottom w:val="single" w:sz="4" w:space="0" w:color="auto"/>
              <w:right w:val="single" w:sz="8" w:space="0" w:color="auto"/>
            </w:tcBorders>
            <w:vAlign w:val="center"/>
            <w:hideMark/>
          </w:tcPr>
          <w:p w14:paraId="12FC3A2C"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de tareas de aprobación de manera individual o masiva.</w:t>
            </w:r>
          </w:p>
        </w:tc>
        <w:tc>
          <w:tcPr>
            <w:tcW w:w="0" w:type="auto"/>
            <w:tcBorders>
              <w:top w:val="nil"/>
              <w:left w:val="nil"/>
              <w:bottom w:val="single" w:sz="4" w:space="0" w:color="auto"/>
              <w:right w:val="single" w:sz="4" w:space="0" w:color="auto"/>
            </w:tcBorders>
            <w:vAlign w:val="center"/>
            <w:hideMark/>
          </w:tcPr>
          <w:p w14:paraId="715060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3A2839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50F5ED9"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DBBA8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5.3</w:t>
            </w:r>
          </w:p>
        </w:tc>
        <w:tc>
          <w:tcPr>
            <w:tcW w:w="6867" w:type="dxa"/>
            <w:tcBorders>
              <w:top w:val="nil"/>
              <w:left w:val="nil"/>
              <w:bottom w:val="single" w:sz="4" w:space="0" w:color="auto"/>
              <w:right w:val="single" w:sz="8" w:space="0" w:color="auto"/>
            </w:tcBorders>
            <w:vAlign w:val="center"/>
            <w:hideMark/>
          </w:tcPr>
          <w:p w14:paraId="2331C929"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de tareas de interfaz de usuario específicas.</w:t>
            </w:r>
          </w:p>
        </w:tc>
        <w:tc>
          <w:tcPr>
            <w:tcW w:w="0" w:type="auto"/>
            <w:tcBorders>
              <w:top w:val="nil"/>
              <w:left w:val="nil"/>
              <w:bottom w:val="single" w:sz="4" w:space="0" w:color="auto"/>
              <w:right w:val="single" w:sz="4" w:space="0" w:color="auto"/>
            </w:tcBorders>
            <w:vAlign w:val="center"/>
            <w:hideMark/>
          </w:tcPr>
          <w:p w14:paraId="47FEE8C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934438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FF7538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9B6654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5.4</w:t>
            </w:r>
          </w:p>
        </w:tc>
        <w:tc>
          <w:tcPr>
            <w:tcW w:w="6867" w:type="dxa"/>
            <w:tcBorders>
              <w:top w:val="nil"/>
              <w:left w:val="nil"/>
              <w:bottom w:val="single" w:sz="4" w:space="0" w:color="auto"/>
              <w:right w:val="single" w:sz="8" w:space="0" w:color="auto"/>
            </w:tcBorders>
            <w:vAlign w:val="center"/>
            <w:hideMark/>
          </w:tcPr>
          <w:p w14:paraId="25582259"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Reasignación de tareas.</w:t>
            </w:r>
          </w:p>
        </w:tc>
        <w:tc>
          <w:tcPr>
            <w:tcW w:w="0" w:type="auto"/>
            <w:tcBorders>
              <w:top w:val="nil"/>
              <w:left w:val="nil"/>
              <w:bottom w:val="single" w:sz="4" w:space="0" w:color="auto"/>
              <w:right w:val="single" w:sz="4" w:space="0" w:color="auto"/>
            </w:tcBorders>
            <w:vAlign w:val="center"/>
            <w:hideMark/>
          </w:tcPr>
          <w:p w14:paraId="412A63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240EE0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AA79177"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2E4B9671" w14:textId="77777777" w:rsidR="00160081" w:rsidRPr="00160081" w:rsidRDefault="00160081" w:rsidP="00BD3D91">
            <w:pPr>
              <w:jc w:val="center"/>
              <w:rPr>
                <w:rFonts w:cstheme="minorHAnsi"/>
                <w:b/>
                <w:bCs/>
                <w:sz w:val="20"/>
                <w:szCs w:val="20"/>
              </w:rPr>
            </w:pPr>
            <w:r w:rsidRPr="00160081">
              <w:rPr>
                <w:rFonts w:cstheme="minorHAnsi"/>
                <w:b/>
                <w:bCs/>
                <w:sz w:val="20"/>
                <w:szCs w:val="20"/>
              </w:rPr>
              <w:t>6</w:t>
            </w:r>
          </w:p>
        </w:tc>
        <w:tc>
          <w:tcPr>
            <w:tcW w:w="6867" w:type="dxa"/>
            <w:tcBorders>
              <w:top w:val="nil"/>
              <w:left w:val="nil"/>
              <w:bottom w:val="single" w:sz="4" w:space="0" w:color="auto"/>
              <w:right w:val="single" w:sz="8" w:space="0" w:color="auto"/>
            </w:tcBorders>
            <w:shd w:val="clear" w:color="000000" w:fill="E6E6E6"/>
            <w:vAlign w:val="center"/>
            <w:hideMark/>
          </w:tcPr>
          <w:p w14:paraId="24D73C54" w14:textId="77777777" w:rsidR="00160081" w:rsidRPr="00160081" w:rsidRDefault="00160081" w:rsidP="00BD3D91">
            <w:pPr>
              <w:rPr>
                <w:rFonts w:cstheme="minorHAnsi"/>
                <w:b/>
                <w:bCs/>
                <w:sz w:val="20"/>
                <w:szCs w:val="20"/>
              </w:rPr>
            </w:pPr>
            <w:r w:rsidRPr="00160081">
              <w:rPr>
                <w:rFonts w:cstheme="minorHAnsi"/>
                <w:b/>
                <w:bCs/>
                <w:sz w:val="20"/>
                <w:szCs w:val="20"/>
              </w:rPr>
              <w:t>COMPONENTE DE MONITOREO</w:t>
            </w:r>
          </w:p>
        </w:tc>
        <w:tc>
          <w:tcPr>
            <w:tcW w:w="0" w:type="auto"/>
            <w:tcBorders>
              <w:top w:val="nil"/>
              <w:left w:val="nil"/>
              <w:bottom w:val="single" w:sz="4" w:space="0" w:color="auto"/>
              <w:right w:val="single" w:sz="4" w:space="0" w:color="auto"/>
            </w:tcBorders>
            <w:shd w:val="clear" w:color="000000" w:fill="E6E6E6"/>
            <w:vAlign w:val="center"/>
            <w:hideMark/>
          </w:tcPr>
          <w:p w14:paraId="70321CB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4D8537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13582853"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59844BC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6.1</w:t>
            </w:r>
          </w:p>
        </w:tc>
        <w:tc>
          <w:tcPr>
            <w:tcW w:w="6867" w:type="dxa"/>
            <w:tcBorders>
              <w:top w:val="nil"/>
              <w:left w:val="nil"/>
              <w:bottom w:val="single" w:sz="4" w:space="0" w:color="auto"/>
              <w:right w:val="single" w:sz="8" w:space="0" w:color="auto"/>
            </w:tcBorders>
            <w:vAlign w:val="center"/>
            <w:hideMark/>
          </w:tcPr>
          <w:p w14:paraId="435D2C46"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Consulta de instancias por proceso (recorrido, tareas de usuario y tareas automáticas) en tiempo real.</w:t>
            </w:r>
          </w:p>
        </w:tc>
        <w:tc>
          <w:tcPr>
            <w:tcW w:w="0" w:type="auto"/>
            <w:tcBorders>
              <w:top w:val="nil"/>
              <w:left w:val="nil"/>
              <w:bottom w:val="single" w:sz="4" w:space="0" w:color="auto"/>
              <w:right w:val="single" w:sz="4" w:space="0" w:color="auto"/>
            </w:tcBorders>
            <w:vAlign w:val="center"/>
            <w:hideMark/>
          </w:tcPr>
          <w:p w14:paraId="68785EB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CD71BF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6A1550A"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80FB31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6.2</w:t>
            </w:r>
          </w:p>
        </w:tc>
        <w:tc>
          <w:tcPr>
            <w:tcW w:w="6867" w:type="dxa"/>
            <w:tcBorders>
              <w:top w:val="nil"/>
              <w:left w:val="nil"/>
              <w:bottom w:val="single" w:sz="4" w:space="0" w:color="auto"/>
              <w:right w:val="single" w:sz="8" w:space="0" w:color="auto"/>
            </w:tcBorders>
            <w:vAlign w:val="center"/>
            <w:hideMark/>
          </w:tcPr>
          <w:p w14:paraId="4D57843A"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Reintento de Ejecución.</w:t>
            </w:r>
          </w:p>
        </w:tc>
        <w:tc>
          <w:tcPr>
            <w:tcW w:w="0" w:type="auto"/>
            <w:tcBorders>
              <w:top w:val="nil"/>
              <w:left w:val="nil"/>
              <w:bottom w:val="single" w:sz="4" w:space="0" w:color="auto"/>
              <w:right w:val="single" w:sz="4" w:space="0" w:color="auto"/>
            </w:tcBorders>
            <w:vAlign w:val="center"/>
            <w:hideMark/>
          </w:tcPr>
          <w:p w14:paraId="3178885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813B20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5D7511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164837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6.3</w:t>
            </w:r>
          </w:p>
        </w:tc>
        <w:tc>
          <w:tcPr>
            <w:tcW w:w="6867" w:type="dxa"/>
            <w:tcBorders>
              <w:top w:val="nil"/>
              <w:left w:val="nil"/>
              <w:bottom w:val="single" w:sz="4" w:space="0" w:color="auto"/>
              <w:right w:val="single" w:sz="8" w:space="0" w:color="auto"/>
            </w:tcBorders>
            <w:vAlign w:val="center"/>
            <w:hideMark/>
          </w:tcPr>
          <w:p w14:paraId="6B908A48" w14:textId="77777777" w:rsidR="00160081" w:rsidRPr="00160081" w:rsidRDefault="00160081" w:rsidP="00BD3D91">
            <w:pPr>
              <w:rPr>
                <w:rFonts w:cstheme="minorHAnsi"/>
                <w:color w:val="000000"/>
                <w:sz w:val="20"/>
                <w:szCs w:val="20"/>
              </w:rPr>
            </w:pPr>
            <w:r w:rsidRPr="00160081">
              <w:rPr>
                <w:rFonts w:cstheme="minorHAnsi"/>
                <w:color w:val="000000"/>
                <w:sz w:val="20"/>
                <w:szCs w:val="20"/>
              </w:rPr>
              <w:t>Asignación y reasignación de tareas.</w:t>
            </w:r>
          </w:p>
        </w:tc>
        <w:tc>
          <w:tcPr>
            <w:tcW w:w="0" w:type="auto"/>
            <w:tcBorders>
              <w:top w:val="nil"/>
              <w:left w:val="nil"/>
              <w:bottom w:val="single" w:sz="4" w:space="0" w:color="auto"/>
              <w:right w:val="single" w:sz="4" w:space="0" w:color="auto"/>
            </w:tcBorders>
            <w:vAlign w:val="center"/>
            <w:hideMark/>
          </w:tcPr>
          <w:p w14:paraId="2315E6D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A44A0B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139B8CC"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404DF44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6.4</w:t>
            </w:r>
          </w:p>
        </w:tc>
        <w:tc>
          <w:tcPr>
            <w:tcW w:w="6867" w:type="dxa"/>
            <w:tcBorders>
              <w:top w:val="nil"/>
              <w:left w:val="nil"/>
              <w:bottom w:val="single" w:sz="4" w:space="0" w:color="auto"/>
              <w:right w:val="single" w:sz="8" w:space="0" w:color="auto"/>
            </w:tcBorders>
            <w:vAlign w:val="center"/>
            <w:hideMark/>
          </w:tcPr>
          <w:p w14:paraId="09A158B5"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Dashboard</w:t>
            </w:r>
            <w:proofErr w:type="spellEnd"/>
            <w:r w:rsidRPr="00160081">
              <w:rPr>
                <w:rFonts w:cstheme="minorHAnsi"/>
                <w:color w:val="000000"/>
                <w:sz w:val="20"/>
                <w:szCs w:val="20"/>
              </w:rPr>
              <w:t xml:space="preserve"> que contenga: información de los estados de tareas por procesos, </w:t>
            </w:r>
            <w:proofErr w:type="gramStart"/>
            <w:r w:rsidRPr="00160081">
              <w:rPr>
                <w:rFonts w:cstheme="minorHAnsi"/>
                <w:color w:val="000000"/>
                <w:sz w:val="20"/>
                <w:szCs w:val="20"/>
              </w:rPr>
              <w:t>dirección zonales</w:t>
            </w:r>
            <w:proofErr w:type="gramEnd"/>
            <w:r w:rsidRPr="00160081">
              <w:rPr>
                <w:rFonts w:cstheme="minorHAnsi"/>
                <w:color w:val="000000"/>
                <w:sz w:val="20"/>
                <w:szCs w:val="20"/>
              </w:rPr>
              <w:t>, períodos.</w:t>
            </w:r>
          </w:p>
        </w:tc>
        <w:tc>
          <w:tcPr>
            <w:tcW w:w="0" w:type="auto"/>
            <w:tcBorders>
              <w:top w:val="nil"/>
              <w:left w:val="nil"/>
              <w:bottom w:val="single" w:sz="4" w:space="0" w:color="auto"/>
              <w:right w:val="single" w:sz="4" w:space="0" w:color="auto"/>
            </w:tcBorders>
            <w:vAlign w:val="center"/>
            <w:hideMark/>
          </w:tcPr>
          <w:p w14:paraId="0DD4D67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93494B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2CB60CA"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0E734A2C" w14:textId="77777777" w:rsidR="00160081" w:rsidRPr="00160081" w:rsidRDefault="00160081" w:rsidP="00BD3D91">
            <w:pPr>
              <w:jc w:val="center"/>
              <w:rPr>
                <w:rFonts w:cstheme="minorHAnsi"/>
                <w:b/>
                <w:bCs/>
                <w:sz w:val="20"/>
                <w:szCs w:val="20"/>
              </w:rPr>
            </w:pPr>
            <w:r w:rsidRPr="00160081">
              <w:rPr>
                <w:rFonts w:cstheme="minorHAnsi"/>
                <w:b/>
                <w:bCs/>
                <w:sz w:val="20"/>
                <w:szCs w:val="20"/>
              </w:rPr>
              <w:t>7</w:t>
            </w:r>
          </w:p>
        </w:tc>
        <w:tc>
          <w:tcPr>
            <w:tcW w:w="6867" w:type="dxa"/>
            <w:tcBorders>
              <w:top w:val="nil"/>
              <w:left w:val="nil"/>
              <w:bottom w:val="single" w:sz="4" w:space="0" w:color="auto"/>
              <w:right w:val="single" w:sz="8" w:space="0" w:color="auto"/>
            </w:tcBorders>
            <w:shd w:val="clear" w:color="000000" w:fill="E6E6E6"/>
            <w:vAlign w:val="center"/>
            <w:hideMark/>
          </w:tcPr>
          <w:p w14:paraId="77F12836" w14:textId="77777777" w:rsidR="00160081" w:rsidRPr="00160081" w:rsidRDefault="00160081" w:rsidP="00BD3D91">
            <w:pPr>
              <w:rPr>
                <w:rFonts w:cstheme="minorHAnsi"/>
                <w:b/>
                <w:bCs/>
                <w:sz w:val="20"/>
                <w:szCs w:val="20"/>
              </w:rPr>
            </w:pPr>
            <w:r w:rsidRPr="00160081">
              <w:rPr>
                <w:rFonts w:cstheme="minorHAnsi"/>
                <w:b/>
                <w:bCs/>
                <w:sz w:val="20"/>
                <w:szCs w:val="20"/>
              </w:rPr>
              <w:t>COMPONENTE DE REPORTERÍA</w:t>
            </w:r>
          </w:p>
        </w:tc>
        <w:tc>
          <w:tcPr>
            <w:tcW w:w="0" w:type="auto"/>
            <w:tcBorders>
              <w:top w:val="nil"/>
              <w:left w:val="nil"/>
              <w:bottom w:val="single" w:sz="4" w:space="0" w:color="auto"/>
              <w:right w:val="single" w:sz="4" w:space="0" w:color="auto"/>
            </w:tcBorders>
            <w:shd w:val="clear" w:color="000000" w:fill="E6E6E6"/>
            <w:vAlign w:val="center"/>
            <w:hideMark/>
          </w:tcPr>
          <w:p w14:paraId="79A0A29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228A682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121958B2"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3F4CE21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7.1</w:t>
            </w:r>
          </w:p>
        </w:tc>
        <w:tc>
          <w:tcPr>
            <w:tcW w:w="6867" w:type="dxa"/>
            <w:tcBorders>
              <w:top w:val="nil"/>
              <w:left w:val="nil"/>
              <w:bottom w:val="single" w:sz="4" w:space="0" w:color="auto"/>
              <w:right w:val="single" w:sz="8" w:space="0" w:color="auto"/>
            </w:tcBorders>
            <w:vAlign w:val="center"/>
            <w:hideMark/>
          </w:tcPr>
          <w:p w14:paraId="0389D1B1"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Reportes analíticos y/o Integración con herramientas de analítica.</w:t>
            </w:r>
          </w:p>
        </w:tc>
        <w:tc>
          <w:tcPr>
            <w:tcW w:w="0" w:type="auto"/>
            <w:tcBorders>
              <w:top w:val="nil"/>
              <w:left w:val="nil"/>
              <w:bottom w:val="single" w:sz="4" w:space="0" w:color="auto"/>
              <w:right w:val="single" w:sz="4" w:space="0" w:color="auto"/>
            </w:tcBorders>
            <w:vAlign w:val="center"/>
            <w:hideMark/>
          </w:tcPr>
          <w:p w14:paraId="593E1E2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F17E0D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47616B9"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716C6E2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7.2</w:t>
            </w:r>
          </w:p>
        </w:tc>
        <w:tc>
          <w:tcPr>
            <w:tcW w:w="6867" w:type="dxa"/>
            <w:tcBorders>
              <w:top w:val="nil"/>
              <w:left w:val="nil"/>
              <w:bottom w:val="single" w:sz="4" w:space="0" w:color="auto"/>
              <w:right w:val="single" w:sz="8" w:space="0" w:color="auto"/>
            </w:tcBorders>
            <w:vAlign w:val="center"/>
            <w:hideMark/>
          </w:tcPr>
          <w:p w14:paraId="67CB48B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Debe contar con herramientas de reportes y monitoreo en tiempo real asociado a la medición de los procesos BAM Business </w:t>
            </w:r>
            <w:proofErr w:type="spellStart"/>
            <w:r w:rsidRPr="00160081">
              <w:rPr>
                <w:rFonts w:cstheme="minorHAnsi"/>
                <w:color w:val="000000"/>
                <w:sz w:val="20"/>
                <w:szCs w:val="20"/>
              </w:rPr>
              <w:t>Activity</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Monitoring</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SLA's</w:t>
            </w:r>
            <w:proofErr w:type="spellEnd"/>
            <w:r w:rsidRPr="00160081">
              <w:rPr>
                <w:rFonts w:cstheme="minorHAnsi"/>
                <w:color w:val="000000"/>
                <w:sz w:val="20"/>
                <w:szCs w:val="20"/>
              </w:rPr>
              <w:t xml:space="preserve">, tiempos de ciclo, cuellos de botella, estadísticos, rutas frecuentes, alertas operativas, etc.)  y visualización de </w:t>
            </w:r>
            <w:proofErr w:type="spellStart"/>
            <w:r w:rsidRPr="00160081">
              <w:rPr>
                <w:rFonts w:cstheme="minorHAnsi"/>
                <w:color w:val="000000"/>
                <w:sz w:val="20"/>
                <w:szCs w:val="20"/>
              </w:rPr>
              <w:t>KPIs</w:t>
            </w:r>
            <w:proofErr w:type="spellEnd"/>
            <w:r w:rsidRPr="00160081">
              <w:rPr>
                <w:rFonts w:cstheme="minorHAnsi"/>
                <w:color w:val="000000"/>
                <w:sz w:val="20"/>
                <w:szCs w:val="20"/>
              </w:rPr>
              <w:t xml:space="preserve"> configurables por proceso.</w:t>
            </w:r>
          </w:p>
        </w:tc>
        <w:tc>
          <w:tcPr>
            <w:tcW w:w="0" w:type="auto"/>
            <w:tcBorders>
              <w:top w:val="nil"/>
              <w:left w:val="nil"/>
              <w:bottom w:val="single" w:sz="4" w:space="0" w:color="auto"/>
              <w:right w:val="single" w:sz="4" w:space="0" w:color="auto"/>
            </w:tcBorders>
            <w:vAlign w:val="center"/>
            <w:hideMark/>
          </w:tcPr>
          <w:p w14:paraId="7CB1F0F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51772FE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C2017D7"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2152949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7.3</w:t>
            </w:r>
          </w:p>
        </w:tc>
        <w:tc>
          <w:tcPr>
            <w:tcW w:w="6867" w:type="dxa"/>
            <w:tcBorders>
              <w:top w:val="nil"/>
              <w:left w:val="nil"/>
              <w:bottom w:val="single" w:sz="4" w:space="0" w:color="auto"/>
              <w:right w:val="single" w:sz="8" w:space="0" w:color="auto"/>
            </w:tcBorders>
            <w:vAlign w:val="center"/>
            <w:hideMark/>
          </w:tcPr>
          <w:p w14:paraId="781A64F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Construir y visualizar los </w:t>
            </w:r>
            <w:proofErr w:type="spellStart"/>
            <w:r w:rsidRPr="00160081">
              <w:rPr>
                <w:rFonts w:cstheme="minorHAnsi"/>
                <w:color w:val="000000"/>
                <w:sz w:val="20"/>
                <w:szCs w:val="20"/>
              </w:rPr>
              <w:t>KPIs</w:t>
            </w:r>
            <w:proofErr w:type="spellEnd"/>
            <w:r w:rsidRPr="00160081">
              <w:rPr>
                <w:rFonts w:cstheme="minorHAnsi"/>
                <w:color w:val="000000"/>
                <w:sz w:val="20"/>
                <w:szCs w:val="20"/>
              </w:rPr>
              <w:t xml:space="preserve"> de los procesos: (Indicadores disponibles en cuadros de mando y presentación de gráficos, exportación a hojas de cálculo).</w:t>
            </w:r>
          </w:p>
        </w:tc>
        <w:tc>
          <w:tcPr>
            <w:tcW w:w="0" w:type="auto"/>
            <w:tcBorders>
              <w:top w:val="nil"/>
              <w:left w:val="nil"/>
              <w:bottom w:val="single" w:sz="4" w:space="0" w:color="auto"/>
              <w:right w:val="single" w:sz="4" w:space="0" w:color="auto"/>
            </w:tcBorders>
            <w:vAlign w:val="center"/>
            <w:hideMark/>
          </w:tcPr>
          <w:p w14:paraId="279FBC2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6022A5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F6CD1E1"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63F55B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7.4</w:t>
            </w:r>
          </w:p>
        </w:tc>
        <w:tc>
          <w:tcPr>
            <w:tcW w:w="6867" w:type="dxa"/>
            <w:tcBorders>
              <w:top w:val="nil"/>
              <w:left w:val="nil"/>
              <w:bottom w:val="single" w:sz="4" w:space="0" w:color="auto"/>
              <w:right w:val="single" w:sz="8" w:space="0" w:color="auto"/>
            </w:tcBorders>
            <w:vAlign w:val="center"/>
            <w:hideMark/>
          </w:tcPr>
          <w:p w14:paraId="06C839AE" w14:textId="77777777" w:rsidR="00160081" w:rsidRPr="00160081" w:rsidRDefault="00160081" w:rsidP="00BD3D91">
            <w:pPr>
              <w:rPr>
                <w:rFonts w:cstheme="minorHAnsi"/>
                <w:color w:val="000000"/>
                <w:sz w:val="20"/>
                <w:szCs w:val="20"/>
              </w:rPr>
            </w:pPr>
            <w:r w:rsidRPr="00160081">
              <w:rPr>
                <w:rFonts w:cstheme="minorHAnsi"/>
                <w:color w:val="000000"/>
                <w:sz w:val="20"/>
                <w:szCs w:val="20"/>
              </w:rPr>
              <w:t>Autorizaciones basadas en roles para los reportes.</w:t>
            </w:r>
          </w:p>
        </w:tc>
        <w:tc>
          <w:tcPr>
            <w:tcW w:w="0" w:type="auto"/>
            <w:tcBorders>
              <w:top w:val="nil"/>
              <w:left w:val="nil"/>
              <w:bottom w:val="single" w:sz="4" w:space="0" w:color="auto"/>
              <w:right w:val="single" w:sz="4" w:space="0" w:color="auto"/>
            </w:tcBorders>
            <w:vAlign w:val="center"/>
            <w:hideMark/>
          </w:tcPr>
          <w:p w14:paraId="4A5986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67944D7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D885B33"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4CBC840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7.5</w:t>
            </w:r>
          </w:p>
        </w:tc>
        <w:tc>
          <w:tcPr>
            <w:tcW w:w="6867" w:type="dxa"/>
            <w:tcBorders>
              <w:top w:val="nil"/>
              <w:left w:val="nil"/>
              <w:bottom w:val="single" w:sz="4" w:space="0" w:color="auto"/>
              <w:right w:val="single" w:sz="8" w:space="0" w:color="auto"/>
            </w:tcBorders>
            <w:vAlign w:val="center"/>
            <w:hideMark/>
          </w:tcPr>
          <w:p w14:paraId="77229BFE" w14:textId="77777777" w:rsidR="00160081" w:rsidRPr="00160081" w:rsidRDefault="00160081" w:rsidP="00BD3D91">
            <w:pPr>
              <w:rPr>
                <w:rFonts w:cstheme="minorHAnsi"/>
                <w:color w:val="000000"/>
                <w:sz w:val="20"/>
                <w:szCs w:val="20"/>
              </w:rPr>
            </w:pPr>
            <w:r w:rsidRPr="00160081">
              <w:rPr>
                <w:rFonts w:cstheme="minorHAnsi"/>
                <w:color w:val="000000"/>
                <w:sz w:val="20"/>
                <w:szCs w:val="20"/>
              </w:rPr>
              <w:t>Debe contar con un módulo basado en inteligencia artificial generativa que permita al usuario final realizar consultas en lenguaje natural sobre los datos de negocio de los procesos, permitiéndole generar gráficas y tablas con información que puede ser descargada a Excel.</w:t>
            </w:r>
          </w:p>
        </w:tc>
        <w:tc>
          <w:tcPr>
            <w:tcW w:w="0" w:type="auto"/>
            <w:tcBorders>
              <w:top w:val="nil"/>
              <w:left w:val="nil"/>
              <w:bottom w:val="single" w:sz="4" w:space="0" w:color="auto"/>
              <w:right w:val="single" w:sz="4" w:space="0" w:color="auto"/>
            </w:tcBorders>
            <w:vAlign w:val="center"/>
            <w:hideMark/>
          </w:tcPr>
          <w:p w14:paraId="05C7651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4D7E33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6158C0D"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731FBBF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7.6</w:t>
            </w:r>
          </w:p>
        </w:tc>
        <w:tc>
          <w:tcPr>
            <w:tcW w:w="6867" w:type="dxa"/>
            <w:tcBorders>
              <w:top w:val="nil"/>
              <w:left w:val="nil"/>
              <w:bottom w:val="single" w:sz="4" w:space="0" w:color="auto"/>
              <w:right w:val="single" w:sz="8" w:space="0" w:color="auto"/>
            </w:tcBorders>
            <w:vAlign w:val="center"/>
            <w:hideMark/>
          </w:tcPr>
          <w:p w14:paraId="237B1075"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analizar carga de trabajo por usuarios individuales.</w:t>
            </w:r>
          </w:p>
        </w:tc>
        <w:tc>
          <w:tcPr>
            <w:tcW w:w="0" w:type="auto"/>
            <w:tcBorders>
              <w:top w:val="nil"/>
              <w:left w:val="nil"/>
              <w:bottom w:val="single" w:sz="4" w:space="0" w:color="auto"/>
              <w:right w:val="single" w:sz="4" w:space="0" w:color="auto"/>
            </w:tcBorders>
            <w:vAlign w:val="center"/>
            <w:hideMark/>
          </w:tcPr>
          <w:p w14:paraId="4333199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1A6A965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B778E01"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03AA946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7.7</w:t>
            </w:r>
          </w:p>
        </w:tc>
        <w:tc>
          <w:tcPr>
            <w:tcW w:w="6867" w:type="dxa"/>
            <w:tcBorders>
              <w:top w:val="nil"/>
              <w:left w:val="nil"/>
              <w:bottom w:val="single" w:sz="4" w:space="0" w:color="auto"/>
              <w:right w:val="single" w:sz="8" w:space="0" w:color="auto"/>
            </w:tcBorders>
            <w:vAlign w:val="center"/>
            <w:hideMark/>
          </w:tcPr>
          <w:p w14:paraId="420C30C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Permite analizar carga de trabajo por usuarios </w:t>
            </w:r>
            <w:proofErr w:type="gramStart"/>
            <w:r w:rsidRPr="00160081">
              <w:rPr>
                <w:rFonts w:cstheme="minorHAnsi"/>
                <w:color w:val="000000"/>
                <w:sz w:val="20"/>
                <w:szCs w:val="20"/>
              </w:rPr>
              <w:t>individuales  por</w:t>
            </w:r>
            <w:proofErr w:type="gramEnd"/>
            <w:r w:rsidRPr="00160081">
              <w:rPr>
                <w:rFonts w:cstheme="minorHAnsi"/>
                <w:color w:val="000000"/>
                <w:sz w:val="20"/>
                <w:szCs w:val="20"/>
              </w:rPr>
              <w:t xml:space="preserve"> flujo de proceso.</w:t>
            </w:r>
          </w:p>
        </w:tc>
        <w:tc>
          <w:tcPr>
            <w:tcW w:w="0" w:type="auto"/>
            <w:tcBorders>
              <w:top w:val="nil"/>
              <w:left w:val="nil"/>
              <w:bottom w:val="single" w:sz="4" w:space="0" w:color="auto"/>
              <w:right w:val="single" w:sz="4" w:space="0" w:color="auto"/>
            </w:tcBorders>
            <w:vAlign w:val="center"/>
            <w:hideMark/>
          </w:tcPr>
          <w:p w14:paraId="68B7F15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3B2BFD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603F5D7"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248F74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7.8</w:t>
            </w:r>
          </w:p>
        </w:tc>
        <w:tc>
          <w:tcPr>
            <w:tcW w:w="6867" w:type="dxa"/>
            <w:tcBorders>
              <w:top w:val="nil"/>
              <w:left w:val="nil"/>
              <w:bottom w:val="single" w:sz="4" w:space="0" w:color="auto"/>
              <w:right w:val="single" w:sz="8" w:space="0" w:color="auto"/>
            </w:tcBorders>
            <w:vAlign w:val="center"/>
            <w:hideMark/>
          </w:tcPr>
          <w:p w14:paraId="2E7A548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analizar carga de trabajo de todos los subordinados.</w:t>
            </w:r>
          </w:p>
        </w:tc>
        <w:tc>
          <w:tcPr>
            <w:tcW w:w="0" w:type="auto"/>
            <w:tcBorders>
              <w:top w:val="nil"/>
              <w:left w:val="nil"/>
              <w:bottom w:val="single" w:sz="4" w:space="0" w:color="auto"/>
              <w:right w:val="single" w:sz="4" w:space="0" w:color="auto"/>
            </w:tcBorders>
            <w:vAlign w:val="center"/>
            <w:hideMark/>
          </w:tcPr>
          <w:p w14:paraId="260890B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31A36F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7FFB715" w14:textId="77777777" w:rsidTr="00CA02A6">
        <w:trPr>
          <w:trHeight w:val="300"/>
        </w:trPr>
        <w:tc>
          <w:tcPr>
            <w:tcW w:w="0" w:type="auto"/>
            <w:tcBorders>
              <w:top w:val="nil"/>
              <w:left w:val="single" w:sz="8" w:space="0" w:color="auto"/>
              <w:bottom w:val="single" w:sz="4" w:space="0" w:color="auto"/>
              <w:right w:val="single" w:sz="4" w:space="0" w:color="auto"/>
            </w:tcBorders>
            <w:vAlign w:val="center"/>
            <w:hideMark/>
          </w:tcPr>
          <w:p w14:paraId="40FB1D0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7.9</w:t>
            </w:r>
          </w:p>
        </w:tc>
        <w:tc>
          <w:tcPr>
            <w:tcW w:w="6867" w:type="dxa"/>
            <w:tcBorders>
              <w:top w:val="nil"/>
              <w:left w:val="nil"/>
              <w:bottom w:val="single" w:sz="4" w:space="0" w:color="auto"/>
              <w:right w:val="single" w:sz="8" w:space="0" w:color="auto"/>
            </w:tcBorders>
            <w:vAlign w:val="center"/>
            <w:hideMark/>
          </w:tcPr>
          <w:p w14:paraId="7C96AE2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Permite comparar carga de trabajo entre usuarios.</w:t>
            </w:r>
          </w:p>
        </w:tc>
        <w:tc>
          <w:tcPr>
            <w:tcW w:w="0" w:type="auto"/>
            <w:tcBorders>
              <w:top w:val="nil"/>
              <w:left w:val="nil"/>
              <w:bottom w:val="single" w:sz="4" w:space="0" w:color="auto"/>
              <w:right w:val="single" w:sz="4" w:space="0" w:color="auto"/>
            </w:tcBorders>
            <w:vAlign w:val="center"/>
            <w:hideMark/>
          </w:tcPr>
          <w:p w14:paraId="3BA2EE1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7495F5B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A06C7C2"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681F7F90" w14:textId="77777777" w:rsidR="00160081" w:rsidRPr="00160081" w:rsidRDefault="00160081" w:rsidP="00BD3D91">
            <w:pPr>
              <w:jc w:val="center"/>
              <w:rPr>
                <w:rFonts w:cstheme="minorHAnsi"/>
                <w:b/>
                <w:bCs/>
                <w:sz w:val="20"/>
                <w:szCs w:val="20"/>
              </w:rPr>
            </w:pPr>
            <w:r w:rsidRPr="00160081">
              <w:rPr>
                <w:rFonts w:cstheme="minorHAnsi"/>
                <w:b/>
                <w:bCs/>
                <w:sz w:val="20"/>
                <w:szCs w:val="20"/>
              </w:rPr>
              <w:t>8</w:t>
            </w:r>
          </w:p>
        </w:tc>
        <w:tc>
          <w:tcPr>
            <w:tcW w:w="6867" w:type="dxa"/>
            <w:tcBorders>
              <w:top w:val="nil"/>
              <w:left w:val="nil"/>
              <w:bottom w:val="single" w:sz="4" w:space="0" w:color="auto"/>
              <w:right w:val="single" w:sz="8" w:space="0" w:color="auto"/>
            </w:tcBorders>
            <w:shd w:val="clear" w:color="000000" w:fill="E6E6E6"/>
            <w:vAlign w:val="center"/>
            <w:hideMark/>
          </w:tcPr>
          <w:p w14:paraId="1B6D9679" w14:textId="77777777" w:rsidR="00160081" w:rsidRPr="00160081" w:rsidRDefault="00160081" w:rsidP="00BD3D91">
            <w:pPr>
              <w:rPr>
                <w:rFonts w:cstheme="minorHAnsi"/>
                <w:b/>
                <w:bCs/>
                <w:sz w:val="20"/>
                <w:szCs w:val="20"/>
              </w:rPr>
            </w:pPr>
            <w:r w:rsidRPr="00160081">
              <w:rPr>
                <w:rFonts w:cstheme="minorHAnsi"/>
                <w:b/>
                <w:bCs/>
                <w:sz w:val="20"/>
                <w:szCs w:val="20"/>
              </w:rPr>
              <w:t>COMPONENTE DE AUDITORÍA</w:t>
            </w:r>
          </w:p>
        </w:tc>
        <w:tc>
          <w:tcPr>
            <w:tcW w:w="0" w:type="auto"/>
            <w:tcBorders>
              <w:top w:val="nil"/>
              <w:left w:val="nil"/>
              <w:bottom w:val="single" w:sz="4" w:space="0" w:color="auto"/>
              <w:right w:val="single" w:sz="4" w:space="0" w:color="auto"/>
            </w:tcBorders>
            <w:shd w:val="clear" w:color="000000" w:fill="E6E6E6"/>
            <w:vAlign w:val="center"/>
            <w:hideMark/>
          </w:tcPr>
          <w:p w14:paraId="56326DA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67A5ADB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11BEB1AD"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512A3B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8.1</w:t>
            </w:r>
          </w:p>
        </w:tc>
        <w:tc>
          <w:tcPr>
            <w:tcW w:w="6867" w:type="dxa"/>
            <w:tcBorders>
              <w:top w:val="nil"/>
              <w:left w:val="nil"/>
              <w:bottom w:val="single" w:sz="4" w:space="0" w:color="auto"/>
              <w:right w:val="single" w:sz="8" w:space="0" w:color="auto"/>
            </w:tcBorders>
            <w:vAlign w:val="center"/>
            <w:hideMark/>
          </w:tcPr>
          <w:p w14:paraId="5C428877"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Registro de pistas de auditoría de los cambios a la información del caso, mostrando quien, cuando y que se modificó. (base de datos y transacciones) acoplados a los mecanismos institucionales transversales.</w:t>
            </w:r>
          </w:p>
        </w:tc>
        <w:tc>
          <w:tcPr>
            <w:tcW w:w="0" w:type="auto"/>
            <w:tcBorders>
              <w:top w:val="nil"/>
              <w:left w:val="nil"/>
              <w:bottom w:val="single" w:sz="4" w:space="0" w:color="auto"/>
              <w:right w:val="single" w:sz="4" w:space="0" w:color="auto"/>
            </w:tcBorders>
            <w:vAlign w:val="center"/>
            <w:hideMark/>
          </w:tcPr>
          <w:p w14:paraId="7F7A300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D91142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2DCD242"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5BB2F2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8.2</w:t>
            </w:r>
          </w:p>
        </w:tc>
        <w:tc>
          <w:tcPr>
            <w:tcW w:w="6867" w:type="dxa"/>
            <w:tcBorders>
              <w:top w:val="nil"/>
              <w:left w:val="nil"/>
              <w:bottom w:val="single" w:sz="4" w:space="0" w:color="auto"/>
              <w:right w:val="single" w:sz="8" w:space="0" w:color="auto"/>
            </w:tcBorders>
            <w:vAlign w:val="center"/>
            <w:hideMark/>
          </w:tcPr>
          <w:p w14:paraId="7B07F228"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 el ambiente de desarrollo debe contar con funcionalidades de auditoría de los diferentes objetos que permita comparar las versiones actuales y pasadas de los objetos de una manera clara y gráfica.</w:t>
            </w:r>
          </w:p>
        </w:tc>
        <w:tc>
          <w:tcPr>
            <w:tcW w:w="0" w:type="auto"/>
            <w:tcBorders>
              <w:top w:val="nil"/>
              <w:left w:val="nil"/>
              <w:bottom w:val="single" w:sz="4" w:space="0" w:color="auto"/>
              <w:right w:val="single" w:sz="4" w:space="0" w:color="auto"/>
            </w:tcBorders>
            <w:vAlign w:val="center"/>
            <w:hideMark/>
          </w:tcPr>
          <w:p w14:paraId="7AE1E0B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4676B3C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669AEDA"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7C7B0171" w14:textId="77777777" w:rsidR="00160081" w:rsidRPr="00160081" w:rsidRDefault="00160081" w:rsidP="00BD3D91">
            <w:pPr>
              <w:jc w:val="center"/>
              <w:rPr>
                <w:rFonts w:cstheme="minorHAnsi"/>
                <w:b/>
                <w:bCs/>
                <w:sz w:val="20"/>
                <w:szCs w:val="20"/>
              </w:rPr>
            </w:pPr>
            <w:r w:rsidRPr="00160081">
              <w:rPr>
                <w:rFonts w:cstheme="minorHAnsi"/>
                <w:b/>
                <w:bCs/>
                <w:sz w:val="20"/>
                <w:szCs w:val="20"/>
              </w:rPr>
              <w:t>9</w:t>
            </w:r>
          </w:p>
        </w:tc>
        <w:tc>
          <w:tcPr>
            <w:tcW w:w="6867" w:type="dxa"/>
            <w:tcBorders>
              <w:top w:val="nil"/>
              <w:left w:val="nil"/>
              <w:bottom w:val="single" w:sz="4" w:space="0" w:color="auto"/>
              <w:right w:val="single" w:sz="8" w:space="0" w:color="auto"/>
            </w:tcBorders>
            <w:shd w:val="clear" w:color="000000" w:fill="E6E6E6"/>
            <w:vAlign w:val="center"/>
            <w:hideMark/>
          </w:tcPr>
          <w:p w14:paraId="15F35998" w14:textId="77777777" w:rsidR="00160081" w:rsidRPr="00160081" w:rsidRDefault="00160081" w:rsidP="00BD3D91">
            <w:pPr>
              <w:rPr>
                <w:rFonts w:cstheme="minorHAnsi"/>
                <w:b/>
                <w:bCs/>
                <w:sz w:val="20"/>
                <w:szCs w:val="20"/>
              </w:rPr>
            </w:pPr>
            <w:r w:rsidRPr="00160081">
              <w:rPr>
                <w:rFonts w:cstheme="minorHAnsi"/>
                <w:b/>
                <w:bCs/>
                <w:sz w:val="20"/>
                <w:szCs w:val="20"/>
              </w:rPr>
              <w:t>HERRAMIENTA DE DOCUMENTACIÓN DE PROCESOS</w:t>
            </w:r>
          </w:p>
        </w:tc>
        <w:tc>
          <w:tcPr>
            <w:tcW w:w="0" w:type="auto"/>
            <w:tcBorders>
              <w:top w:val="nil"/>
              <w:left w:val="nil"/>
              <w:bottom w:val="single" w:sz="4" w:space="0" w:color="auto"/>
              <w:right w:val="single" w:sz="4" w:space="0" w:color="auto"/>
            </w:tcBorders>
            <w:shd w:val="clear" w:color="000000" w:fill="E6E6E6"/>
            <w:vAlign w:val="center"/>
            <w:hideMark/>
          </w:tcPr>
          <w:p w14:paraId="33C0D45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079EE95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283DA6A6"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4F65C6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9.1</w:t>
            </w:r>
          </w:p>
        </w:tc>
        <w:tc>
          <w:tcPr>
            <w:tcW w:w="6867" w:type="dxa"/>
            <w:tcBorders>
              <w:top w:val="nil"/>
              <w:left w:val="nil"/>
              <w:bottom w:val="single" w:sz="4" w:space="0" w:color="auto"/>
              <w:right w:val="single" w:sz="8" w:space="0" w:color="auto"/>
            </w:tcBorders>
            <w:vAlign w:val="center"/>
            <w:hideMark/>
          </w:tcPr>
          <w:p w14:paraId="0E82A60D" w14:textId="77777777" w:rsidR="00160081" w:rsidRPr="00160081" w:rsidRDefault="00160081" w:rsidP="00BD3D91">
            <w:pPr>
              <w:rPr>
                <w:rFonts w:cstheme="minorHAnsi"/>
                <w:color w:val="000000"/>
                <w:sz w:val="20"/>
                <w:szCs w:val="20"/>
              </w:rPr>
            </w:pPr>
            <w:r w:rsidRPr="00160081">
              <w:rPr>
                <w:rFonts w:cstheme="minorHAnsi"/>
                <w:color w:val="000000"/>
                <w:sz w:val="20"/>
                <w:szCs w:val="20"/>
              </w:rPr>
              <w:t>Flexibilidad para crear documentos con plantilla, exportar los formularios, subir documentos, integrarse con otros gestores documentales para dejar documentos o tomar documentos (con formato, incluir adjuntos, enlaces, etc.).</w:t>
            </w:r>
          </w:p>
        </w:tc>
        <w:tc>
          <w:tcPr>
            <w:tcW w:w="0" w:type="auto"/>
            <w:tcBorders>
              <w:top w:val="nil"/>
              <w:left w:val="nil"/>
              <w:bottom w:val="single" w:sz="4" w:space="0" w:color="auto"/>
              <w:right w:val="single" w:sz="4" w:space="0" w:color="auto"/>
            </w:tcBorders>
            <w:vAlign w:val="center"/>
            <w:hideMark/>
          </w:tcPr>
          <w:p w14:paraId="4528E8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4D754D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11C9B05C" w14:textId="77777777" w:rsidTr="00CA02A6">
        <w:trPr>
          <w:trHeight w:val="960"/>
        </w:trPr>
        <w:tc>
          <w:tcPr>
            <w:tcW w:w="0" w:type="auto"/>
            <w:tcBorders>
              <w:top w:val="nil"/>
              <w:left w:val="single" w:sz="8" w:space="0" w:color="auto"/>
              <w:bottom w:val="single" w:sz="4" w:space="0" w:color="auto"/>
              <w:right w:val="single" w:sz="4" w:space="0" w:color="auto"/>
            </w:tcBorders>
            <w:vAlign w:val="center"/>
            <w:hideMark/>
          </w:tcPr>
          <w:p w14:paraId="602EE99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9.2</w:t>
            </w:r>
          </w:p>
        </w:tc>
        <w:tc>
          <w:tcPr>
            <w:tcW w:w="6867" w:type="dxa"/>
            <w:tcBorders>
              <w:top w:val="nil"/>
              <w:left w:val="nil"/>
              <w:bottom w:val="single" w:sz="4" w:space="0" w:color="auto"/>
              <w:right w:val="single" w:sz="8" w:space="0" w:color="auto"/>
            </w:tcBorders>
            <w:vAlign w:val="center"/>
            <w:hideMark/>
          </w:tcPr>
          <w:p w14:paraId="02C379E2" w14:textId="77777777" w:rsidR="00160081" w:rsidRPr="00160081" w:rsidRDefault="00160081" w:rsidP="00BD3D91">
            <w:pPr>
              <w:rPr>
                <w:rFonts w:cstheme="minorHAnsi"/>
                <w:color w:val="000000"/>
                <w:sz w:val="20"/>
                <w:szCs w:val="20"/>
              </w:rPr>
            </w:pPr>
            <w:r w:rsidRPr="00160081">
              <w:rPr>
                <w:rFonts w:cstheme="minorHAnsi"/>
                <w:color w:val="000000"/>
                <w:sz w:val="20"/>
                <w:szCs w:val="20"/>
              </w:rPr>
              <w:t>Generación automática de Manuales de Procesos, a partir del diseño del proceso realizado dentro del modelador. El manual debe generarse en formatos descargables y editables (PDF y DOCX como mínimo) y debe incluir información estructurada proveniente del diseño, la documentación del proceso y sus metadatos, misma estructura que debe ser parametrizable según se requiera.</w:t>
            </w:r>
          </w:p>
        </w:tc>
        <w:tc>
          <w:tcPr>
            <w:tcW w:w="0" w:type="auto"/>
            <w:tcBorders>
              <w:top w:val="nil"/>
              <w:left w:val="nil"/>
              <w:bottom w:val="single" w:sz="4" w:space="0" w:color="auto"/>
              <w:right w:val="single" w:sz="4" w:space="0" w:color="auto"/>
            </w:tcBorders>
            <w:vAlign w:val="center"/>
            <w:hideMark/>
          </w:tcPr>
          <w:p w14:paraId="20277F8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2654799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24FDD33"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017F81BB" w14:textId="77777777" w:rsidR="00160081" w:rsidRPr="00160081" w:rsidRDefault="00160081" w:rsidP="00BD3D91">
            <w:pPr>
              <w:jc w:val="center"/>
              <w:rPr>
                <w:rFonts w:cstheme="minorHAnsi"/>
                <w:b/>
                <w:bCs/>
                <w:sz w:val="20"/>
                <w:szCs w:val="20"/>
              </w:rPr>
            </w:pPr>
            <w:r w:rsidRPr="00160081">
              <w:rPr>
                <w:rFonts w:cstheme="minorHAnsi"/>
                <w:b/>
                <w:bCs/>
                <w:sz w:val="20"/>
                <w:szCs w:val="20"/>
              </w:rPr>
              <w:t>10</w:t>
            </w:r>
          </w:p>
        </w:tc>
        <w:tc>
          <w:tcPr>
            <w:tcW w:w="6867" w:type="dxa"/>
            <w:tcBorders>
              <w:top w:val="nil"/>
              <w:left w:val="nil"/>
              <w:bottom w:val="single" w:sz="4" w:space="0" w:color="auto"/>
              <w:right w:val="single" w:sz="8" w:space="0" w:color="auto"/>
            </w:tcBorders>
            <w:shd w:val="clear" w:color="000000" w:fill="E6E6E6"/>
            <w:vAlign w:val="center"/>
            <w:hideMark/>
          </w:tcPr>
          <w:p w14:paraId="13A0A147" w14:textId="77777777" w:rsidR="00160081" w:rsidRPr="00160081" w:rsidRDefault="00160081" w:rsidP="00BD3D91">
            <w:pPr>
              <w:rPr>
                <w:rFonts w:cstheme="minorHAnsi"/>
                <w:b/>
                <w:bCs/>
                <w:sz w:val="20"/>
                <w:szCs w:val="20"/>
              </w:rPr>
            </w:pPr>
            <w:r w:rsidRPr="00160081">
              <w:rPr>
                <w:rFonts w:cstheme="minorHAnsi"/>
                <w:b/>
                <w:bCs/>
                <w:sz w:val="20"/>
                <w:szCs w:val="20"/>
              </w:rPr>
              <w:t>HERRAMIENTAS COLABORATIVAS</w:t>
            </w:r>
          </w:p>
        </w:tc>
        <w:tc>
          <w:tcPr>
            <w:tcW w:w="0" w:type="auto"/>
            <w:tcBorders>
              <w:top w:val="nil"/>
              <w:left w:val="nil"/>
              <w:bottom w:val="single" w:sz="4" w:space="0" w:color="auto"/>
              <w:right w:val="single" w:sz="4" w:space="0" w:color="auto"/>
            </w:tcBorders>
            <w:shd w:val="clear" w:color="000000" w:fill="E6E6E6"/>
            <w:vAlign w:val="center"/>
            <w:hideMark/>
          </w:tcPr>
          <w:p w14:paraId="1457D91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092F2FF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0FEEE6D9"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FFFFFF"/>
            <w:vAlign w:val="center"/>
            <w:hideMark/>
          </w:tcPr>
          <w:p w14:paraId="7CE5D4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10.1</w:t>
            </w:r>
          </w:p>
        </w:tc>
        <w:tc>
          <w:tcPr>
            <w:tcW w:w="6867" w:type="dxa"/>
            <w:tcBorders>
              <w:top w:val="nil"/>
              <w:left w:val="nil"/>
              <w:bottom w:val="single" w:sz="4" w:space="0" w:color="auto"/>
              <w:right w:val="single" w:sz="8" w:space="0" w:color="auto"/>
            </w:tcBorders>
            <w:shd w:val="clear" w:color="000000" w:fill="FFFFFF"/>
            <w:vAlign w:val="center"/>
            <w:hideMark/>
          </w:tcPr>
          <w:p w14:paraId="18084CCF"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Registro comentarios y/o sugerencias, o información de retroalimentación al proceso.</w:t>
            </w:r>
          </w:p>
        </w:tc>
        <w:tc>
          <w:tcPr>
            <w:tcW w:w="0" w:type="auto"/>
            <w:tcBorders>
              <w:top w:val="nil"/>
              <w:left w:val="nil"/>
              <w:bottom w:val="single" w:sz="4" w:space="0" w:color="auto"/>
              <w:right w:val="single" w:sz="4" w:space="0" w:color="auto"/>
            </w:tcBorders>
            <w:shd w:val="clear" w:color="000000" w:fill="FFFFFF"/>
            <w:vAlign w:val="center"/>
            <w:hideMark/>
          </w:tcPr>
          <w:p w14:paraId="1177720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shd w:val="clear" w:color="000000" w:fill="FFFFFF"/>
            <w:vAlign w:val="center"/>
            <w:hideMark/>
          </w:tcPr>
          <w:p w14:paraId="2E5F0F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175C4C75" w14:textId="77777777" w:rsidTr="00CA02A6">
        <w:trPr>
          <w:trHeight w:val="300"/>
        </w:trPr>
        <w:tc>
          <w:tcPr>
            <w:tcW w:w="0" w:type="auto"/>
            <w:tcBorders>
              <w:top w:val="nil"/>
              <w:left w:val="single" w:sz="8" w:space="0" w:color="auto"/>
              <w:bottom w:val="single" w:sz="4" w:space="0" w:color="auto"/>
              <w:right w:val="single" w:sz="4" w:space="0" w:color="auto"/>
            </w:tcBorders>
            <w:shd w:val="clear" w:color="000000" w:fill="E6E6E6"/>
            <w:vAlign w:val="center"/>
            <w:hideMark/>
          </w:tcPr>
          <w:p w14:paraId="5B1ADA76" w14:textId="77777777" w:rsidR="00160081" w:rsidRPr="00160081" w:rsidRDefault="00160081" w:rsidP="00BD3D91">
            <w:pPr>
              <w:jc w:val="center"/>
              <w:rPr>
                <w:rFonts w:cstheme="minorHAnsi"/>
                <w:b/>
                <w:bCs/>
                <w:sz w:val="20"/>
                <w:szCs w:val="20"/>
              </w:rPr>
            </w:pPr>
            <w:r w:rsidRPr="00160081">
              <w:rPr>
                <w:rFonts w:cstheme="minorHAnsi"/>
                <w:b/>
                <w:bCs/>
                <w:sz w:val="20"/>
                <w:szCs w:val="20"/>
              </w:rPr>
              <w:t>11</w:t>
            </w:r>
          </w:p>
        </w:tc>
        <w:tc>
          <w:tcPr>
            <w:tcW w:w="6867" w:type="dxa"/>
            <w:tcBorders>
              <w:top w:val="nil"/>
              <w:left w:val="nil"/>
              <w:bottom w:val="single" w:sz="4" w:space="0" w:color="auto"/>
              <w:right w:val="single" w:sz="8" w:space="0" w:color="auto"/>
            </w:tcBorders>
            <w:shd w:val="clear" w:color="000000" w:fill="E6E6E6"/>
            <w:vAlign w:val="center"/>
            <w:hideMark/>
          </w:tcPr>
          <w:p w14:paraId="303BD395" w14:textId="77777777" w:rsidR="00160081" w:rsidRPr="00160081" w:rsidRDefault="00160081" w:rsidP="00BD3D91">
            <w:pPr>
              <w:rPr>
                <w:rFonts w:cstheme="minorHAnsi"/>
                <w:b/>
                <w:bCs/>
                <w:sz w:val="20"/>
                <w:szCs w:val="20"/>
              </w:rPr>
            </w:pPr>
            <w:r w:rsidRPr="00160081">
              <w:rPr>
                <w:rFonts w:cstheme="minorHAnsi"/>
                <w:b/>
                <w:bCs/>
                <w:sz w:val="20"/>
                <w:szCs w:val="20"/>
              </w:rPr>
              <w:t>OTROS</w:t>
            </w:r>
          </w:p>
        </w:tc>
        <w:tc>
          <w:tcPr>
            <w:tcW w:w="0" w:type="auto"/>
            <w:tcBorders>
              <w:top w:val="nil"/>
              <w:left w:val="nil"/>
              <w:bottom w:val="single" w:sz="4" w:space="0" w:color="auto"/>
              <w:right w:val="single" w:sz="4" w:space="0" w:color="auto"/>
            </w:tcBorders>
            <w:shd w:val="clear" w:color="000000" w:fill="E6E6E6"/>
            <w:vAlign w:val="center"/>
            <w:hideMark/>
          </w:tcPr>
          <w:p w14:paraId="0230D87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8" w:space="0" w:color="auto"/>
            </w:tcBorders>
            <w:shd w:val="clear" w:color="000000" w:fill="E6E6E6"/>
            <w:vAlign w:val="center"/>
            <w:hideMark/>
          </w:tcPr>
          <w:p w14:paraId="26EE19B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086D336C" w14:textId="77777777" w:rsidTr="00CA02A6">
        <w:trPr>
          <w:trHeight w:val="720"/>
        </w:trPr>
        <w:tc>
          <w:tcPr>
            <w:tcW w:w="0" w:type="auto"/>
            <w:tcBorders>
              <w:top w:val="nil"/>
              <w:left w:val="single" w:sz="8" w:space="0" w:color="auto"/>
              <w:bottom w:val="single" w:sz="4" w:space="0" w:color="auto"/>
              <w:right w:val="single" w:sz="4" w:space="0" w:color="auto"/>
            </w:tcBorders>
            <w:vAlign w:val="center"/>
            <w:hideMark/>
          </w:tcPr>
          <w:p w14:paraId="4AEDF4F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11.1</w:t>
            </w:r>
          </w:p>
        </w:tc>
        <w:tc>
          <w:tcPr>
            <w:tcW w:w="6867" w:type="dxa"/>
            <w:tcBorders>
              <w:top w:val="nil"/>
              <w:left w:val="nil"/>
              <w:bottom w:val="single" w:sz="4" w:space="0" w:color="auto"/>
              <w:right w:val="single" w:sz="8" w:space="0" w:color="auto"/>
            </w:tcBorders>
            <w:vAlign w:val="center"/>
            <w:hideMark/>
          </w:tcPr>
          <w:p w14:paraId="25DBF7C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El fabricante debe haber sido reconocido como líder o </w:t>
            </w:r>
            <w:proofErr w:type="spellStart"/>
            <w:r w:rsidRPr="00160081">
              <w:rPr>
                <w:rFonts w:cstheme="minorHAnsi"/>
                <w:color w:val="000000"/>
                <w:sz w:val="20"/>
                <w:szCs w:val="20"/>
              </w:rPr>
              <w:t>challenger</w:t>
            </w:r>
            <w:proofErr w:type="spellEnd"/>
            <w:r w:rsidRPr="00160081">
              <w:rPr>
                <w:rFonts w:cstheme="minorHAnsi"/>
                <w:color w:val="000000"/>
                <w:sz w:val="20"/>
                <w:szCs w:val="20"/>
              </w:rPr>
              <w:t xml:space="preserve"> en el cuadrante mágico de </w:t>
            </w:r>
            <w:proofErr w:type="spellStart"/>
            <w:r w:rsidRPr="00160081">
              <w:rPr>
                <w:rFonts w:cstheme="minorHAnsi"/>
                <w:color w:val="000000"/>
                <w:sz w:val="20"/>
                <w:szCs w:val="20"/>
              </w:rPr>
              <w:t>Intelligent</w:t>
            </w:r>
            <w:proofErr w:type="spellEnd"/>
            <w:r w:rsidRPr="00160081">
              <w:rPr>
                <w:rFonts w:cstheme="minorHAnsi"/>
                <w:color w:val="000000"/>
                <w:sz w:val="20"/>
                <w:szCs w:val="20"/>
              </w:rPr>
              <w:t xml:space="preserve"> Business Process Management Suites de Gartner y/</w:t>
            </w:r>
            <w:proofErr w:type="gramStart"/>
            <w:r w:rsidRPr="00160081">
              <w:rPr>
                <w:rFonts w:cstheme="minorHAnsi"/>
                <w:color w:val="000000"/>
                <w:sz w:val="20"/>
                <w:szCs w:val="20"/>
              </w:rPr>
              <w:t>o  en</w:t>
            </w:r>
            <w:proofErr w:type="gramEnd"/>
            <w:r w:rsidRPr="00160081">
              <w:rPr>
                <w:rFonts w:cstheme="minorHAnsi"/>
                <w:color w:val="000000"/>
                <w:sz w:val="20"/>
                <w:szCs w:val="20"/>
              </w:rPr>
              <w:t xml:space="preserve"> FORRESTER como líder o </w:t>
            </w:r>
            <w:proofErr w:type="spellStart"/>
            <w:r w:rsidRPr="00160081">
              <w:rPr>
                <w:rFonts w:cstheme="minorHAnsi"/>
                <w:color w:val="000000"/>
                <w:sz w:val="20"/>
                <w:szCs w:val="20"/>
              </w:rPr>
              <w:t>strong</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perfomer</w:t>
            </w:r>
            <w:proofErr w:type="spellEnd"/>
            <w:r w:rsidRPr="00160081">
              <w:rPr>
                <w:rFonts w:cstheme="minorHAnsi"/>
                <w:color w:val="000000"/>
                <w:sz w:val="20"/>
                <w:szCs w:val="20"/>
              </w:rPr>
              <w:t xml:space="preserve"> </w:t>
            </w:r>
            <w:proofErr w:type="gramStart"/>
            <w:r w:rsidRPr="00160081">
              <w:rPr>
                <w:rFonts w:cstheme="minorHAnsi"/>
                <w:color w:val="000000"/>
                <w:sz w:val="20"/>
                <w:szCs w:val="20"/>
              </w:rPr>
              <w:t>en  Digital</w:t>
            </w:r>
            <w:proofErr w:type="gramEnd"/>
            <w:r w:rsidRPr="00160081">
              <w:rPr>
                <w:rFonts w:cstheme="minorHAnsi"/>
                <w:color w:val="000000"/>
                <w:sz w:val="20"/>
                <w:szCs w:val="20"/>
              </w:rPr>
              <w:t xml:space="preserve"> Process </w:t>
            </w:r>
            <w:proofErr w:type="spellStart"/>
            <w:r w:rsidRPr="00160081">
              <w:rPr>
                <w:rFonts w:cstheme="minorHAnsi"/>
                <w:color w:val="000000"/>
                <w:sz w:val="20"/>
                <w:szCs w:val="20"/>
              </w:rPr>
              <w:t>Automation</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for</w:t>
            </w:r>
            <w:proofErr w:type="spellEnd"/>
            <w:r w:rsidRPr="00160081">
              <w:rPr>
                <w:rFonts w:cstheme="minorHAnsi"/>
                <w:color w:val="000000"/>
                <w:sz w:val="20"/>
                <w:szCs w:val="20"/>
              </w:rPr>
              <w:t xml:space="preserve"> Deep </w:t>
            </w:r>
            <w:proofErr w:type="spellStart"/>
            <w:r w:rsidRPr="00160081">
              <w:rPr>
                <w:rFonts w:cstheme="minorHAnsi"/>
                <w:color w:val="000000"/>
                <w:sz w:val="20"/>
                <w:szCs w:val="20"/>
              </w:rPr>
              <w:t>Deployments</w:t>
            </w:r>
            <w:proofErr w:type="spellEnd"/>
            <w:r w:rsidRPr="00160081">
              <w:rPr>
                <w:rFonts w:cstheme="minorHAnsi"/>
                <w:color w:val="000000"/>
                <w:sz w:val="20"/>
                <w:szCs w:val="20"/>
              </w:rPr>
              <w:t>.</w:t>
            </w:r>
          </w:p>
        </w:tc>
        <w:tc>
          <w:tcPr>
            <w:tcW w:w="0" w:type="auto"/>
            <w:tcBorders>
              <w:top w:val="nil"/>
              <w:left w:val="nil"/>
              <w:bottom w:val="single" w:sz="4" w:space="0" w:color="auto"/>
              <w:right w:val="single" w:sz="4" w:space="0" w:color="auto"/>
            </w:tcBorders>
            <w:vAlign w:val="center"/>
            <w:hideMark/>
          </w:tcPr>
          <w:p w14:paraId="02BE83A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8" w:space="0" w:color="auto"/>
            </w:tcBorders>
            <w:vAlign w:val="center"/>
            <w:hideMark/>
          </w:tcPr>
          <w:p w14:paraId="61CCC9F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BAF3480" w14:textId="77777777" w:rsidTr="00CA02A6">
        <w:trPr>
          <w:trHeight w:val="480"/>
        </w:trPr>
        <w:tc>
          <w:tcPr>
            <w:tcW w:w="0" w:type="auto"/>
            <w:tcBorders>
              <w:top w:val="nil"/>
              <w:left w:val="single" w:sz="8" w:space="0" w:color="auto"/>
              <w:bottom w:val="single" w:sz="4" w:space="0" w:color="auto"/>
              <w:right w:val="single" w:sz="4" w:space="0" w:color="auto"/>
            </w:tcBorders>
            <w:vAlign w:val="center"/>
            <w:hideMark/>
          </w:tcPr>
          <w:p w14:paraId="605A782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11.2</w:t>
            </w:r>
          </w:p>
        </w:tc>
        <w:tc>
          <w:tcPr>
            <w:tcW w:w="6867" w:type="dxa"/>
            <w:tcBorders>
              <w:top w:val="nil"/>
              <w:left w:val="nil"/>
              <w:bottom w:val="single" w:sz="4" w:space="0" w:color="auto"/>
              <w:right w:val="single" w:sz="8" w:space="0" w:color="auto"/>
            </w:tcBorders>
            <w:vAlign w:val="center"/>
            <w:hideMark/>
          </w:tcPr>
          <w:p w14:paraId="09C103D5"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fabricante de la plataforma BPM, debe contar con soporte en español y prestado directamente por el fabricante.</w:t>
            </w:r>
          </w:p>
        </w:tc>
        <w:tc>
          <w:tcPr>
            <w:tcW w:w="0" w:type="auto"/>
            <w:tcBorders>
              <w:top w:val="nil"/>
              <w:left w:val="nil"/>
              <w:bottom w:val="single" w:sz="4" w:space="0" w:color="auto"/>
              <w:right w:val="single" w:sz="4" w:space="0" w:color="auto"/>
            </w:tcBorders>
            <w:vAlign w:val="center"/>
            <w:hideMark/>
          </w:tcPr>
          <w:p w14:paraId="4CBCBFA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8" w:space="0" w:color="auto"/>
            </w:tcBorders>
            <w:vAlign w:val="center"/>
            <w:hideMark/>
          </w:tcPr>
          <w:p w14:paraId="0011F34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3502F34" w14:textId="77777777" w:rsidTr="00CA02A6">
        <w:trPr>
          <w:trHeight w:val="735"/>
        </w:trPr>
        <w:tc>
          <w:tcPr>
            <w:tcW w:w="0" w:type="auto"/>
            <w:tcBorders>
              <w:top w:val="nil"/>
              <w:left w:val="single" w:sz="8" w:space="0" w:color="auto"/>
              <w:bottom w:val="single" w:sz="8" w:space="0" w:color="auto"/>
              <w:right w:val="single" w:sz="4" w:space="0" w:color="auto"/>
            </w:tcBorders>
            <w:vAlign w:val="center"/>
            <w:hideMark/>
          </w:tcPr>
          <w:p w14:paraId="1B7DEB7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11.3</w:t>
            </w:r>
          </w:p>
        </w:tc>
        <w:tc>
          <w:tcPr>
            <w:tcW w:w="6867" w:type="dxa"/>
            <w:tcBorders>
              <w:top w:val="nil"/>
              <w:left w:val="nil"/>
              <w:bottom w:val="single" w:sz="8" w:space="0" w:color="auto"/>
              <w:right w:val="single" w:sz="8" w:space="0" w:color="auto"/>
            </w:tcBorders>
            <w:vAlign w:val="center"/>
            <w:hideMark/>
          </w:tcPr>
          <w:p w14:paraId="48BE267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La </w:t>
            </w:r>
            <w:proofErr w:type="gramStart"/>
            <w:r w:rsidRPr="00160081">
              <w:rPr>
                <w:rFonts w:cstheme="minorHAnsi"/>
                <w:color w:val="000000"/>
                <w:sz w:val="20"/>
                <w:szCs w:val="20"/>
              </w:rPr>
              <w:t>solución  debe</w:t>
            </w:r>
            <w:proofErr w:type="gramEnd"/>
            <w:r w:rsidRPr="00160081">
              <w:rPr>
                <w:rFonts w:cstheme="minorHAnsi"/>
                <w:color w:val="000000"/>
                <w:sz w:val="20"/>
                <w:szCs w:val="20"/>
              </w:rPr>
              <w:t xml:space="preserve"> incluir la totalidad de los componentes requeridos por la plataforma BPMS para su funcionamiento. Ejemplo: base de datos, motor de procesos, motor de reglas, repositorio de datos, </w:t>
            </w:r>
            <w:proofErr w:type="spellStart"/>
            <w:r w:rsidRPr="00160081">
              <w:rPr>
                <w:rFonts w:cstheme="minorHAnsi"/>
                <w:color w:val="000000"/>
                <w:sz w:val="20"/>
                <w:szCs w:val="20"/>
              </w:rPr>
              <w:t>filesystem</w:t>
            </w:r>
            <w:proofErr w:type="spellEnd"/>
            <w:r w:rsidRPr="00160081">
              <w:rPr>
                <w:rFonts w:cstheme="minorHAnsi"/>
                <w:color w:val="000000"/>
                <w:sz w:val="20"/>
                <w:szCs w:val="20"/>
              </w:rPr>
              <w:t>, IA generativa etc.</w:t>
            </w:r>
          </w:p>
        </w:tc>
        <w:tc>
          <w:tcPr>
            <w:tcW w:w="0" w:type="auto"/>
            <w:tcBorders>
              <w:top w:val="nil"/>
              <w:left w:val="nil"/>
              <w:bottom w:val="single" w:sz="8" w:space="0" w:color="auto"/>
              <w:right w:val="single" w:sz="4" w:space="0" w:color="auto"/>
            </w:tcBorders>
            <w:vAlign w:val="center"/>
            <w:hideMark/>
          </w:tcPr>
          <w:p w14:paraId="41D689F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8" w:space="0" w:color="auto"/>
              <w:right w:val="single" w:sz="8" w:space="0" w:color="auto"/>
            </w:tcBorders>
            <w:vAlign w:val="center"/>
            <w:hideMark/>
          </w:tcPr>
          <w:p w14:paraId="5E7756F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bl>
    <w:p w14:paraId="73659351" w14:textId="77777777" w:rsidR="00CA02A6" w:rsidRDefault="00CA02A6" w:rsidP="00160081">
      <w:pPr>
        <w:ind w:left="720"/>
        <w:rPr>
          <w:rFonts w:cstheme="minorHAnsi"/>
          <w:sz w:val="20"/>
          <w:szCs w:val="20"/>
        </w:rPr>
      </w:pPr>
    </w:p>
    <w:p w14:paraId="7C135BDB" w14:textId="77777777" w:rsidR="00160081" w:rsidRPr="00160081" w:rsidRDefault="00160081" w:rsidP="00160081">
      <w:pPr>
        <w:suppressAutoHyphens/>
        <w:ind w:left="720"/>
        <w:rPr>
          <w:rFonts w:cstheme="minorHAnsi"/>
          <w:b/>
          <w:bCs/>
          <w:sz w:val="20"/>
          <w:szCs w:val="20"/>
        </w:rPr>
      </w:pPr>
      <w:r w:rsidRPr="00160081">
        <w:rPr>
          <w:rFonts w:cstheme="minorHAnsi"/>
          <w:b/>
          <w:bCs/>
          <w:sz w:val="20"/>
          <w:szCs w:val="20"/>
        </w:rPr>
        <w:t>6.1.2 Componente BRMS:</w:t>
      </w:r>
    </w:p>
    <w:tbl>
      <w:tblPr>
        <w:tblW w:w="10207" w:type="dxa"/>
        <w:tblInd w:w="-856" w:type="dxa"/>
        <w:tblCellMar>
          <w:left w:w="70" w:type="dxa"/>
          <w:right w:w="70" w:type="dxa"/>
        </w:tblCellMar>
        <w:tblLook w:val="04A0" w:firstRow="1" w:lastRow="0" w:firstColumn="1" w:lastColumn="0" w:noHBand="0" w:noVBand="1"/>
      </w:tblPr>
      <w:tblGrid>
        <w:gridCol w:w="498"/>
        <w:gridCol w:w="7015"/>
        <w:gridCol w:w="1076"/>
        <w:gridCol w:w="1618"/>
      </w:tblGrid>
      <w:tr w:rsidR="00160081" w:rsidRPr="00160081" w14:paraId="7BA818A3" w14:textId="77777777" w:rsidTr="007A425E">
        <w:trPr>
          <w:trHeight w:val="20"/>
          <w:tblHeader/>
        </w:trPr>
        <w:tc>
          <w:tcPr>
            <w:tcW w:w="0" w:type="auto"/>
            <w:tcBorders>
              <w:top w:val="single" w:sz="4" w:space="0" w:color="auto"/>
              <w:left w:val="single" w:sz="4" w:space="0" w:color="auto"/>
              <w:bottom w:val="single" w:sz="4" w:space="0" w:color="auto"/>
              <w:right w:val="single" w:sz="4" w:space="0" w:color="auto"/>
            </w:tcBorders>
            <w:shd w:val="clear" w:color="A6C9EB" w:fill="A6C9EB"/>
            <w:vAlign w:val="center"/>
            <w:hideMark/>
          </w:tcPr>
          <w:p w14:paraId="63AEF9B8" w14:textId="77777777" w:rsidR="00160081" w:rsidRPr="00160081" w:rsidRDefault="00160081" w:rsidP="00BD3D91">
            <w:pPr>
              <w:jc w:val="center"/>
              <w:rPr>
                <w:rFonts w:cstheme="minorHAnsi"/>
                <w:b/>
                <w:bCs/>
                <w:sz w:val="20"/>
                <w:szCs w:val="20"/>
              </w:rPr>
            </w:pPr>
            <w:r w:rsidRPr="00160081">
              <w:rPr>
                <w:rFonts w:cstheme="minorHAnsi"/>
                <w:b/>
                <w:bCs/>
                <w:sz w:val="20"/>
                <w:szCs w:val="20"/>
              </w:rPr>
              <w:t>No.</w:t>
            </w:r>
          </w:p>
        </w:tc>
        <w:tc>
          <w:tcPr>
            <w:tcW w:w="7015" w:type="dxa"/>
            <w:tcBorders>
              <w:top w:val="single" w:sz="4" w:space="0" w:color="auto"/>
              <w:left w:val="nil"/>
              <w:bottom w:val="single" w:sz="4" w:space="0" w:color="auto"/>
              <w:right w:val="single" w:sz="4" w:space="0" w:color="auto"/>
            </w:tcBorders>
            <w:shd w:val="clear" w:color="DBE9F7" w:fill="DBE9F7"/>
            <w:vAlign w:val="center"/>
            <w:hideMark/>
          </w:tcPr>
          <w:p w14:paraId="4AAEEC66" w14:textId="77777777" w:rsidR="00160081" w:rsidRPr="00160081" w:rsidRDefault="00160081" w:rsidP="00BD3D91">
            <w:pPr>
              <w:jc w:val="center"/>
              <w:rPr>
                <w:rFonts w:cstheme="minorHAnsi"/>
                <w:b/>
                <w:bCs/>
                <w:sz w:val="20"/>
                <w:szCs w:val="20"/>
              </w:rPr>
            </w:pPr>
            <w:r w:rsidRPr="00160081">
              <w:rPr>
                <w:rFonts w:cstheme="minorHAnsi"/>
                <w:b/>
                <w:bCs/>
                <w:sz w:val="20"/>
                <w:szCs w:val="20"/>
              </w:rPr>
              <w:t>DESCRIPCIÓN</w:t>
            </w:r>
          </w:p>
        </w:tc>
        <w:tc>
          <w:tcPr>
            <w:tcW w:w="2694" w:type="dxa"/>
            <w:gridSpan w:val="2"/>
            <w:tcBorders>
              <w:top w:val="single" w:sz="4" w:space="0" w:color="auto"/>
              <w:left w:val="nil"/>
              <w:bottom w:val="single" w:sz="4" w:space="0" w:color="auto"/>
              <w:right w:val="single" w:sz="4" w:space="0" w:color="auto"/>
            </w:tcBorders>
            <w:shd w:val="clear" w:color="DBE9F7" w:fill="DBE9F7"/>
            <w:vAlign w:val="center"/>
            <w:hideMark/>
          </w:tcPr>
          <w:p w14:paraId="33AFD5C1" w14:textId="77777777" w:rsidR="00160081" w:rsidRPr="00160081" w:rsidRDefault="00160081" w:rsidP="00BD3D91">
            <w:pPr>
              <w:jc w:val="center"/>
              <w:rPr>
                <w:rFonts w:cstheme="minorHAnsi"/>
                <w:b/>
                <w:bCs/>
                <w:sz w:val="20"/>
                <w:szCs w:val="20"/>
              </w:rPr>
            </w:pPr>
            <w:r w:rsidRPr="00160081">
              <w:rPr>
                <w:rFonts w:cstheme="minorHAnsi"/>
                <w:b/>
                <w:bCs/>
                <w:sz w:val="20"/>
                <w:szCs w:val="20"/>
              </w:rPr>
              <w:t>REQUERIMIENTO</w:t>
            </w:r>
          </w:p>
        </w:tc>
      </w:tr>
      <w:tr w:rsidR="00160081" w:rsidRPr="00160081" w14:paraId="2FC203DC"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7AC62903" w14:textId="77777777" w:rsidR="00160081" w:rsidRPr="00160081" w:rsidRDefault="00160081" w:rsidP="00BD3D91">
            <w:pPr>
              <w:jc w:val="center"/>
              <w:rPr>
                <w:rFonts w:cstheme="minorHAnsi"/>
                <w:b/>
                <w:bCs/>
                <w:sz w:val="20"/>
                <w:szCs w:val="20"/>
              </w:rPr>
            </w:pPr>
            <w:r w:rsidRPr="00160081">
              <w:rPr>
                <w:rFonts w:cstheme="minorHAnsi"/>
                <w:b/>
                <w:bCs/>
                <w:sz w:val="20"/>
                <w:szCs w:val="20"/>
              </w:rPr>
              <w:t>1</w:t>
            </w:r>
          </w:p>
        </w:tc>
        <w:tc>
          <w:tcPr>
            <w:tcW w:w="7015" w:type="dxa"/>
            <w:tcBorders>
              <w:top w:val="nil"/>
              <w:left w:val="nil"/>
              <w:bottom w:val="single" w:sz="4" w:space="0" w:color="auto"/>
              <w:right w:val="single" w:sz="4" w:space="0" w:color="auto"/>
            </w:tcBorders>
            <w:shd w:val="clear" w:color="DBE9F7" w:fill="DBE9F7"/>
            <w:vAlign w:val="center"/>
            <w:hideMark/>
          </w:tcPr>
          <w:p w14:paraId="1F20456A" w14:textId="77777777" w:rsidR="00160081" w:rsidRPr="00160081" w:rsidRDefault="00160081" w:rsidP="00BD3D91">
            <w:pPr>
              <w:jc w:val="center"/>
              <w:rPr>
                <w:rFonts w:cstheme="minorHAnsi"/>
                <w:b/>
                <w:bCs/>
                <w:sz w:val="20"/>
                <w:szCs w:val="20"/>
              </w:rPr>
            </w:pPr>
            <w:r w:rsidRPr="00160081">
              <w:rPr>
                <w:rFonts w:cstheme="minorHAnsi"/>
                <w:b/>
                <w:bCs/>
                <w:sz w:val="20"/>
                <w:szCs w:val="20"/>
              </w:rPr>
              <w:t xml:space="preserve">ENTENDIMIENTO DE LAS OBLIGACIONES TRIBUTARIAS </w:t>
            </w:r>
          </w:p>
        </w:tc>
        <w:tc>
          <w:tcPr>
            <w:tcW w:w="0" w:type="auto"/>
            <w:tcBorders>
              <w:top w:val="nil"/>
              <w:left w:val="nil"/>
              <w:bottom w:val="single" w:sz="4" w:space="0" w:color="auto"/>
              <w:right w:val="single" w:sz="4" w:space="0" w:color="auto"/>
            </w:tcBorders>
            <w:shd w:val="clear" w:color="DBE9F7" w:fill="DBE9F7"/>
            <w:vAlign w:val="center"/>
            <w:hideMark/>
          </w:tcPr>
          <w:p w14:paraId="3413A796" w14:textId="77777777" w:rsidR="00160081" w:rsidRPr="00160081" w:rsidRDefault="00160081" w:rsidP="00BD3D91">
            <w:pPr>
              <w:jc w:val="center"/>
              <w:rPr>
                <w:rFonts w:cstheme="minorHAnsi"/>
                <w:b/>
                <w:bCs/>
                <w:sz w:val="20"/>
                <w:szCs w:val="20"/>
              </w:rPr>
            </w:pPr>
            <w:r w:rsidRPr="00160081">
              <w:rPr>
                <w:rFonts w:cstheme="minorHAnsi"/>
                <w:b/>
                <w:bCs/>
                <w:sz w:val="20"/>
                <w:szCs w:val="20"/>
              </w:rPr>
              <w:t>NECESARIA</w:t>
            </w:r>
          </w:p>
        </w:tc>
        <w:tc>
          <w:tcPr>
            <w:tcW w:w="1618" w:type="dxa"/>
            <w:tcBorders>
              <w:top w:val="nil"/>
              <w:left w:val="nil"/>
              <w:bottom w:val="single" w:sz="4" w:space="0" w:color="auto"/>
              <w:right w:val="single" w:sz="4" w:space="0" w:color="auto"/>
            </w:tcBorders>
            <w:shd w:val="clear" w:color="DBE9F7" w:fill="DBE9F7"/>
            <w:vAlign w:val="center"/>
            <w:hideMark/>
          </w:tcPr>
          <w:p w14:paraId="7110E22E" w14:textId="77777777" w:rsidR="00160081" w:rsidRPr="00160081" w:rsidRDefault="00160081" w:rsidP="00BD3D91">
            <w:pPr>
              <w:jc w:val="center"/>
              <w:rPr>
                <w:rFonts w:cstheme="minorHAnsi"/>
                <w:b/>
                <w:bCs/>
                <w:sz w:val="20"/>
                <w:szCs w:val="20"/>
              </w:rPr>
            </w:pPr>
            <w:r w:rsidRPr="00160081">
              <w:rPr>
                <w:rFonts w:cstheme="minorHAnsi"/>
                <w:b/>
                <w:bCs/>
                <w:sz w:val="20"/>
                <w:szCs w:val="20"/>
              </w:rPr>
              <w:t>IMPORTANTE</w:t>
            </w:r>
          </w:p>
        </w:tc>
      </w:tr>
      <w:tr w:rsidR="00160081" w:rsidRPr="00160081" w14:paraId="6932E2D4"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411AE038" w14:textId="77777777" w:rsidR="00160081" w:rsidRPr="00160081" w:rsidRDefault="00160081" w:rsidP="00BD3D91">
            <w:pPr>
              <w:jc w:val="center"/>
              <w:rPr>
                <w:rFonts w:cstheme="minorHAnsi"/>
                <w:b/>
                <w:bCs/>
                <w:sz w:val="20"/>
                <w:szCs w:val="20"/>
              </w:rPr>
            </w:pPr>
            <w:r w:rsidRPr="00160081">
              <w:rPr>
                <w:rFonts w:cstheme="minorHAnsi"/>
                <w:b/>
                <w:bCs/>
                <w:sz w:val="20"/>
                <w:szCs w:val="20"/>
              </w:rPr>
              <w:t>1.1</w:t>
            </w:r>
          </w:p>
        </w:tc>
        <w:tc>
          <w:tcPr>
            <w:tcW w:w="7015" w:type="dxa"/>
            <w:tcBorders>
              <w:top w:val="nil"/>
              <w:left w:val="nil"/>
              <w:bottom w:val="single" w:sz="4" w:space="0" w:color="auto"/>
              <w:right w:val="single" w:sz="4" w:space="0" w:color="auto"/>
            </w:tcBorders>
            <w:vAlign w:val="center"/>
            <w:hideMark/>
          </w:tcPr>
          <w:p w14:paraId="3F18A141" w14:textId="77777777" w:rsidR="00160081" w:rsidRPr="00160081" w:rsidRDefault="00160081" w:rsidP="00BD3D91">
            <w:pPr>
              <w:rPr>
                <w:rFonts w:cstheme="minorHAnsi"/>
                <w:sz w:val="20"/>
                <w:szCs w:val="20"/>
              </w:rPr>
            </w:pPr>
            <w:r w:rsidRPr="00160081">
              <w:rPr>
                <w:rFonts w:cstheme="minorHAnsi"/>
                <w:sz w:val="20"/>
                <w:szCs w:val="20"/>
              </w:rPr>
              <w:t>El BRMS debe permitir al usuario poder definir y registrar la construcción de reglas de negocio o las actualizaciones a las existentes.</w:t>
            </w:r>
          </w:p>
        </w:tc>
        <w:tc>
          <w:tcPr>
            <w:tcW w:w="0" w:type="auto"/>
            <w:tcBorders>
              <w:top w:val="nil"/>
              <w:left w:val="nil"/>
              <w:bottom w:val="single" w:sz="4" w:space="0" w:color="auto"/>
              <w:right w:val="single" w:sz="4" w:space="0" w:color="auto"/>
            </w:tcBorders>
            <w:vAlign w:val="center"/>
            <w:hideMark/>
          </w:tcPr>
          <w:p w14:paraId="2EEF1D72"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2649684C"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7835B5B1"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034DA32" w14:textId="77777777" w:rsidR="00160081" w:rsidRPr="00160081" w:rsidRDefault="00160081" w:rsidP="00BD3D91">
            <w:pPr>
              <w:jc w:val="center"/>
              <w:rPr>
                <w:rFonts w:cstheme="minorHAnsi"/>
                <w:b/>
                <w:bCs/>
                <w:sz w:val="20"/>
                <w:szCs w:val="20"/>
              </w:rPr>
            </w:pPr>
            <w:r w:rsidRPr="00160081">
              <w:rPr>
                <w:rFonts w:cstheme="minorHAnsi"/>
                <w:b/>
                <w:bCs/>
                <w:sz w:val="20"/>
                <w:szCs w:val="20"/>
              </w:rPr>
              <w:t>1.2</w:t>
            </w:r>
          </w:p>
        </w:tc>
        <w:tc>
          <w:tcPr>
            <w:tcW w:w="7015" w:type="dxa"/>
            <w:tcBorders>
              <w:top w:val="nil"/>
              <w:left w:val="nil"/>
              <w:bottom w:val="single" w:sz="4" w:space="0" w:color="auto"/>
              <w:right w:val="single" w:sz="4" w:space="0" w:color="auto"/>
            </w:tcBorders>
            <w:vAlign w:val="center"/>
            <w:hideMark/>
          </w:tcPr>
          <w:p w14:paraId="66A3A1AE" w14:textId="77777777" w:rsidR="00160081" w:rsidRPr="00160081" w:rsidRDefault="00160081" w:rsidP="00BD3D91">
            <w:pPr>
              <w:rPr>
                <w:rFonts w:cstheme="minorHAnsi"/>
                <w:sz w:val="20"/>
                <w:szCs w:val="20"/>
              </w:rPr>
            </w:pPr>
            <w:r w:rsidRPr="00160081">
              <w:rPr>
                <w:rFonts w:cstheme="minorHAnsi"/>
                <w:sz w:val="20"/>
                <w:szCs w:val="20"/>
              </w:rPr>
              <w:t>El BRMS debe integrarse al aplicativo correspondiente para que este genere un número de orden de trabajo</w:t>
            </w:r>
          </w:p>
        </w:tc>
        <w:tc>
          <w:tcPr>
            <w:tcW w:w="0" w:type="auto"/>
            <w:tcBorders>
              <w:top w:val="nil"/>
              <w:left w:val="nil"/>
              <w:bottom w:val="single" w:sz="4" w:space="0" w:color="auto"/>
              <w:right w:val="single" w:sz="4" w:space="0" w:color="auto"/>
            </w:tcBorders>
            <w:vAlign w:val="center"/>
            <w:hideMark/>
          </w:tcPr>
          <w:p w14:paraId="2E7E712B"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43C85A1C"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26A65F72"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F88391E" w14:textId="77777777" w:rsidR="00160081" w:rsidRPr="00160081" w:rsidRDefault="00160081" w:rsidP="00BD3D91">
            <w:pPr>
              <w:jc w:val="center"/>
              <w:rPr>
                <w:rFonts w:cstheme="minorHAnsi"/>
                <w:b/>
                <w:bCs/>
                <w:sz w:val="20"/>
                <w:szCs w:val="20"/>
              </w:rPr>
            </w:pPr>
            <w:r w:rsidRPr="00160081">
              <w:rPr>
                <w:rFonts w:cstheme="minorHAnsi"/>
                <w:b/>
                <w:bCs/>
                <w:sz w:val="20"/>
                <w:szCs w:val="20"/>
              </w:rPr>
              <w:t>1.3</w:t>
            </w:r>
          </w:p>
        </w:tc>
        <w:tc>
          <w:tcPr>
            <w:tcW w:w="7015" w:type="dxa"/>
            <w:tcBorders>
              <w:top w:val="nil"/>
              <w:left w:val="nil"/>
              <w:bottom w:val="single" w:sz="4" w:space="0" w:color="auto"/>
              <w:right w:val="single" w:sz="4" w:space="0" w:color="auto"/>
            </w:tcBorders>
            <w:vAlign w:val="center"/>
            <w:hideMark/>
          </w:tcPr>
          <w:p w14:paraId="68040A70" w14:textId="77777777" w:rsidR="00160081" w:rsidRPr="00160081" w:rsidRDefault="00160081" w:rsidP="00BD3D91">
            <w:pPr>
              <w:rPr>
                <w:rFonts w:cstheme="minorHAnsi"/>
                <w:sz w:val="20"/>
                <w:szCs w:val="20"/>
              </w:rPr>
            </w:pPr>
            <w:r w:rsidRPr="00160081">
              <w:rPr>
                <w:rFonts w:cstheme="minorHAnsi"/>
                <w:sz w:val="20"/>
                <w:szCs w:val="20"/>
              </w:rPr>
              <w:t>El BRMS deberá gestionar grupos de trabajo para presentar al supervisor una lista de las ordenes de trabajo ordenadas bajo criterios de priorización parametrizables conforme necesidad del dueño del proceso (ej. fechas de creación, procesos emisores, etc.), para que se le presente la información de esta y que se pueda asignar el usuario responsable de análisis.</w:t>
            </w:r>
          </w:p>
        </w:tc>
        <w:tc>
          <w:tcPr>
            <w:tcW w:w="0" w:type="auto"/>
            <w:tcBorders>
              <w:top w:val="nil"/>
              <w:left w:val="nil"/>
              <w:bottom w:val="single" w:sz="4" w:space="0" w:color="auto"/>
              <w:right w:val="single" w:sz="4" w:space="0" w:color="auto"/>
            </w:tcBorders>
            <w:vAlign w:val="center"/>
            <w:hideMark/>
          </w:tcPr>
          <w:p w14:paraId="7E116305"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7C10AC13"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0CF65B55"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57A86CB5" w14:textId="77777777" w:rsidR="00160081" w:rsidRPr="00160081" w:rsidRDefault="00160081" w:rsidP="00BD3D91">
            <w:pPr>
              <w:jc w:val="center"/>
              <w:rPr>
                <w:rFonts w:cstheme="minorHAnsi"/>
                <w:b/>
                <w:bCs/>
                <w:sz w:val="20"/>
                <w:szCs w:val="20"/>
              </w:rPr>
            </w:pPr>
            <w:r w:rsidRPr="00160081">
              <w:rPr>
                <w:rFonts w:cstheme="minorHAnsi"/>
                <w:b/>
                <w:bCs/>
                <w:sz w:val="20"/>
                <w:szCs w:val="20"/>
              </w:rPr>
              <w:t>1.4</w:t>
            </w:r>
          </w:p>
        </w:tc>
        <w:tc>
          <w:tcPr>
            <w:tcW w:w="7015" w:type="dxa"/>
            <w:tcBorders>
              <w:top w:val="nil"/>
              <w:left w:val="nil"/>
              <w:bottom w:val="single" w:sz="4" w:space="0" w:color="auto"/>
              <w:right w:val="single" w:sz="4" w:space="0" w:color="auto"/>
            </w:tcBorders>
            <w:vAlign w:val="center"/>
            <w:hideMark/>
          </w:tcPr>
          <w:p w14:paraId="735F42DA" w14:textId="77777777" w:rsidR="00160081" w:rsidRPr="00160081" w:rsidRDefault="00160081" w:rsidP="00BD3D91">
            <w:pPr>
              <w:rPr>
                <w:rFonts w:cstheme="minorHAnsi"/>
                <w:sz w:val="20"/>
                <w:szCs w:val="20"/>
              </w:rPr>
            </w:pPr>
            <w:r w:rsidRPr="00160081">
              <w:rPr>
                <w:rFonts w:cstheme="minorHAnsi"/>
                <w:sz w:val="20"/>
                <w:szCs w:val="20"/>
              </w:rPr>
              <w:t xml:space="preserve">El BRMS deberá asignar al analista, bajo criterios de priorización parametrizables conforme necesidad. </w:t>
            </w:r>
          </w:p>
        </w:tc>
        <w:tc>
          <w:tcPr>
            <w:tcW w:w="0" w:type="auto"/>
            <w:tcBorders>
              <w:top w:val="nil"/>
              <w:left w:val="nil"/>
              <w:bottom w:val="single" w:sz="4" w:space="0" w:color="auto"/>
              <w:right w:val="single" w:sz="4" w:space="0" w:color="auto"/>
            </w:tcBorders>
            <w:vAlign w:val="center"/>
            <w:hideMark/>
          </w:tcPr>
          <w:p w14:paraId="2894A300"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693E0FF0"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2F4B5B64"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21A89FE" w14:textId="77777777" w:rsidR="00160081" w:rsidRPr="00160081" w:rsidRDefault="00160081" w:rsidP="00BD3D91">
            <w:pPr>
              <w:jc w:val="center"/>
              <w:rPr>
                <w:rFonts w:cstheme="minorHAnsi"/>
                <w:b/>
                <w:bCs/>
                <w:sz w:val="20"/>
                <w:szCs w:val="20"/>
              </w:rPr>
            </w:pPr>
            <w:r w:rsidRPr="00160081">
              <w:rPr>
                <w:rFonts w:cstheme="minorHAnsi"/>
                <w:b/>
                <w:bCs/>
                <w:sz w:val="20"/>
                <w:szCs w:val="20"/>
              </w:rPr>
              <w:t>1.5</w:t>
            </w:r>
          </w:p>
        </w:tc>
        <w:tc>
          <w:tcPr>
            <w:tcW w:w="7015" w:type="dxa"/>
            <w:tcBorders>
              <w:top w:val="nil"/>
              <w:left w:val="nil"/>
              <w:bottom w:val="single" w:sz="4" w:space="0" w:color="auto"/>
              <w:right w:val="single" w:sz="4" w:space="0" w:color="auto"/>
            </w:tcBorders>
            <w:vAlign w:val="center"/>
            <w:hideMark/>
          </w:tcPr>
          <w:p w14:paraId="2F2CC55E" w14:textId="77777777" w:rsidR="00160081" w:rsidRPr="00160081" w:rsidRDefault="00160081" w:rsidP="00BD3D91">
            <w:pPr>
              <w:rPr>
                <w:rFonts w:cstheme="minorHAnsi"/>
                <w:sz w:val="20"/>
                <w:szCs w:val="20"/>
              </w:rPr>
            </w:pPr>
            <w:r w:rsidRPr="00160081">
              <w:rPr>
                <w:rFonts w:cstheme="minorHAnsi"/>
                <w:sz w:val="20"/>
                <w:szCs w:val="20"/>
              </w:rPr>
              <w:t>El BRMS permitirá al analista registrar los elementos necesarios para complementar la ficha de entendimiento.</w:t>
            </w:r>
          </w:p>
        </w:tc>
        <w:tc>
          <w:tcPr>
            <w:tcW w:w="0" w:type="auto"/>
            <w:tcBorders>
              <w:top w:val="nil"/>
              <w:left w:val="nil"/>
              <w:bottom w:val="single" w:sz="4" w:space="0" w:color="auto"/>
              <w:right w:val="single" w:sz="4" w:space="0" w:color="auto"/>
            </w:tcBorders>
            <w:vAlign w:val="center"/>
            <w:hideMark/>
          </w:tcPr>
          <w:p w14:paraId="639C76CC"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04864D2D"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630761A8"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78FDCCF6" w14:textId="77777777" w:rsidR="00160081" w:rsidRPr="00160081" w:rsidRDefault="00160081" w:rsidP="00BD3D91">
            <w:pPr>
              <w:jc w:val="center"/>
              <w:rPr>
                <w:rFonts w:cstheme="minorHAnsi"/>
                <w:b/>
                <w:bCs/>
                <w:sz w:val="20"/>
                <w:szCs w:val="20"/>
              </w:rPr>
            </w:pPr>
            <w:r w:rsidRPr="00160081">
              <w:rPr>
                <w:rFonts w:cstheme="minorHAnsi"/>
                <w:b/>
                <w:bCs/>
                <w:sz w:val="20"/>
                <w:szCs w:val="20"/>
              </w:rPr>
              <w:t>1.6</w:t>
            </w:r>
          </w:p>
        </w:tc>
        <w:tc>
          <w:tcPr>
            <w:tcW w:w="7015" w:type="dxa"/>
            <w:tcBorders>
              <w:top w:val="nil"/>
              <w:left w:val="nil"/>
              <w:bottom w:val="single" w:sz="4" w:space="0" w:color="auto"/>
              <w:right w:val="single" w:sz="4" w:space="0" w:color="auto"/>
            </w:tcBorders>
            <w:vAlign w:val="center"/>
            <w:hideMark/>
          </w:tcPr>
          <w:p w14:paraId="3BACFE11" w14:textId="77777777" w:rsidR="00160081" w:rsidRPr="00160081" w:rsidRDefault="00160081" w:rsidP="00BD3D91">
            <w:pPr>
              <w:rPr>
                <w:rFonts w:cstheme="minorHAnsi"/>
                <w:sz w:val="20"/>
                <w:szCs w:val="20"/>
              </w:rPr>
            </w:pPr>
            <w:r w:rsidRPr="00160081">
              <w:rPr>
                <w:rFonts w:cstheme="minorHAnsi"/>
                <w:sz w:val="20"/>
                <w:szCs w:val="20"/>
              </w:rPr>
              <w:t>El BRMS deberá solicitar información adicional a las unidades relacionadas.</w:t>
            </w:r>
          </w:p>
        </w:tc>
        <w:tc>
          <w:tcPr>
            <w:tcW w:w="0" w:type="auto"/>
            <w:tcBorders>
              <w:top w:val="nil"/>
              <w:left w:val="nil"/>
              <w:bottom w:val="single" w:sz="4" w:space="0" w:color="auto"/>
              <w:right w:val="single" w:sz="4" w:space="0" w:color="auto"/>
            </w:tcBorders>
            <w:vAlign w:val="center"/>
            <w:hideMark/>
          </w:tcPr>
          <w:p w14:paraId="769BA006"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4B56FBD1"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6BCAF7D9"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D3A56FA" w14:textId="77777777" w:rsidR="00160081" w:rsidRPr="00160081" w:rsidRDefault="00160081" w:rsidP="00BD3D91">
            <w:pPr>
              <w:jc w:val="center"/>
              <w:rPr>
                <w:rFonts w:cstheme="minorHAnsi"/>
                <w:b/>
                <w:bCs/>
                <w:sz w:val="20"/>
                <w:szCs w:val="20"/>
              </w:rPr>
            </w:pPr>
            <w:r w:rsidRPr="00160081">
              <w:rPr>
                <w:rFonts w:cstheme="minorHAnsi"/>
                <w:b/>
                <w:bCs/>
                <w:sz w:val="20"/>
                <w:szCs w:val="20"/>
              </w:rPr>
              <w:t>1.7</w:t>
            </w:r>
          </w:p>
        </w:tc>
        <w:tc>
          <w:tcPr>
            <w:tcW w:w="7015" w:type="dxa"/>
            <w:tcBorders>
              <w:top w:val="nil"/>
              <w:left w:val="nil"/>
              <w:bottom w:val="single" w:sz="4" w:space="0" w:color="auto"/>
              <w:right w:val="single" w:sz="4" w:space="0" w:color="auto"/>
            </w:tcBorders>
            <w:vAlign w:val="center"/>
            <w:hideMark/>
          </w:tcPr>
          <w:p w14:paraId="322792B5" w14:textId="77777777" w:rsidR="00160081" w:rsidRPr="00160081" w:rsidRDefault="00160081" w:rsidP="00BD3D91">
            <w:pPr>
              <w:rPr>
                <w:rFonts w:cstheme="minorHAnsi"/>
                <w:sz w:val="20"/>
                <w:szCs w:val="20"/>
              </w:rPr>
            </w:pPr>
            <w:r w:rsidRPr="00160081">
              <w:rPr>
                <w:rFonts w:cstheme="minorHAnsi"/>
                <w:sz w:val="20"/>
                <w:szCs w:val="20"/>
              </w:rPr>
              <w:t xml:space="preserve">El BRMS debe permitir al analista poder definir y registrar </w:t>
            </w:r>
            <w:proofErr w:type="gramStart"/>
            <w:r w:rsidRPr="00160081">
              <w:rPr>
                <w:rFonts w:cstheme="minorHAnsi"/>
                <w:sz w:val="20"/>
                <w:szCs w:val="20"/>
              </w:rPr>
              <w:t>las construcción</w:t>
            </w:r>
            <w:proofErr w:type="gramEnd"/>
            <w:r w:rsidRPr="00160081">
              <w:rPr>
                <w:rFonts w:cstheme="minorHAnsi"/>
                <w:sz w:val="20"/>
                <w:szCs w:val="20"/>
              </w:rPr>
              <w:t xml:space="preserve"> de reglas de negocio o las actualizaciones a las existentes.</w:t>
            </w:r>
          </w:p>
        </w:tc>
        <w:tc>
          <w:tcPr>
            <w:tcW w:w="0" w:type="auto"/>
            <w:tcBorders>
              <w:top w:val="nil"/>
              <w:left w:val="nil"/>
              <w:bottom w:val="single" w:sz="4" w:space="0" w:color="auto"/>
              <w:right w:val="single" w:sz="4" w:space="0" w:color="auto"/>
            </w:tcBorders>
            <w:vAlign w:val="center"/>
            <w:hideMark/>
          </w:tcPr>
          <w:p w14:paraId="3333F415"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6B27AAA9"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1D374C7A"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49333BF" w14:textId="77777777" w:rsidR="00160081" w:rsidRPr="00160081" w:rsidRDefault="00160081" w:rsidP="00BD3D91">
            <w:pPr>
              <w:jc w:val="center"/>
              <w:rPr>
                <w:rFonts w:cstheme="minorHAnsi"/>
                <w:b/>
                <w:bCs/>
                <w:sz w:val="20"/>
                <w:szCs w:val="20"/>
              </w:rPr>
            </w:pPr>
            <w:r w:rsidRPr="00160081">
              <w:rPr>
                <w:rFonts w:cstheme="minorHAnsi"/>
                <w:b/>
                <w:bCs/>
                <w:sz w:val="20"/>
                <w:szCs w:val="20"/>
              </w:rPr>
              <w:t>1.8</w:t>
            </w:r>
          </w:p>
        </w:tc>
        <w:tc>
          <w:tcPr>
            <w:tcW w:w="7015" w:type="dxa"/>
            <w:tcBorders>
              <w:top w:val="nil"/>
              <w:left w:val="nil"/>
              <w:bottom w:val="single" w:sz="4" w:space="0" w:color="auto"/>
              <w:right w:val="single" w:sz="4" w:space="0" w:color="auto"/>
            </w:tcBorders>
            <w:vAlign w:val="center"/>
            <w:hideMark/>
          </w:tcPr>
          <w:p w14:paraId="7E350039" w14:textId="77777777" w:rsidR="00160081" w:rsidRPr="00160081" w:rsidRDefault="00160081" w:rsidP="00BD3D91">
            <w:pPr>
              <w:rPr>
                <w:rFonts w:cstheme="minorHAnsi"/>
                <w:sz w:val="20"/>
                <w:szCs w:val="20"/>
              </w:rPr>
            </w:pPr>
            <w:r w:rsidRPr="00160081">
              <w:rPr>
                <w:rFonts w:cstheme="minorHAnsi"/>
                <w:sz w:val="20"/>
                <w:szCs w:val="20"/>
              </w:rPr>
              <w:t xml:space="preserve">El BRMS deberá conectarse y </w:t>
            </w:r>
            <w:proofErr w:type="spellStart"/>
            <w:r w:rsidRPr="00160081">
              <w:rPr>
                <w:rFonts w:cstheme="minorHAnsi"/>
                <w:sz w:val="20"/>
                <w:szCs w:val="20"/>
              </w:rPr>
              <w:t>disponibilizar</w:t>
            </w:r>
            <w:proofErr w:type="spellEnd"/>
            <w:r w:rsidRPr="00160081">
              <w:rPr>
                <w:rFonts w:cstheme="minorHAnsi"/>
                <w:sz w:val="20"/>
                <w:szCs w:val="20"/>
              </w:rPr>
              <w:t xml:space="preserve"> las fuentes de información que permitan la construcción de una regla de negocio.</w:t>
            </w:r>
          </w:p>
        </w:tc>
        <w:tc>
          <w:tcPr>
            <w:tcW w:w="0" w:type="auto"/>
            <w:tcBorders>
              <w:top w:val="nil"/>
              <w:left w:val="nil"/>
              <w:bottom w:val="single" w:sz="4" w:space="0" w:color="auto"/>
              <w:right w:val="single" w:sz="4" w:space="0" w:color="auto"/>
            </w:tcBorders>
            <w:vAlign w:val="center"/>
            <w:hideMark/>
          </w:tcPr>
          <w:p w14:paraId="525682BE"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5BE28C90"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15E4595D"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D7DA7D4" w14:textId="77777777" w:rsidR="00160081" w:rsidRPr="00160081" w:rsidRDefault="00160081" w:rsidP="00BD3D91">
            <w:pPr>
              <w:jc w:val="center"/>
              <w:rPr>
                <w:rFonts w:cstheme="minorHAnsi"/>
                <w:b/>
                <w:bCs/>
                <w:sz w:val="20"/>
                <w:szCs w:val="20"/>
              </w:rPr>
            </w:pPr>
            <w:r w:rsidRPr="00160081">
              <w:rPr>
                <w:rFonts w:cstheme="minorHAnsi"/>
                <w:b/>
                <w:bCs/>
                <w:sz w:val="20"/>
                <w:szCs w:val="20"/>
              </w:rPr>
              <w:t>1.9</w:t>
            </w:r>
          </w:p>
        </w:tc>
        <w:tc>
          <w:tcPr>
            <w:tcW w:w="7015" w:type="dxa"/>
            <w:tcBorders>
              <w:top w:val="nil"/>
              <w:left w:val="nil"/>
              <w:bottom w:val="single" w:sz="4" w:space="0" w:color="auto"/>
              <w:right w:val="single" w:sz="4" w:space="0" w:color="auto"/>
            </w:tcBorders>
            <w:vAlign w:val="center"/>
            <w:hideMark/>
          </w:tcPr>
          <w:p w14:paraId="089C631C" w14:textId="77777777" w:rsidR="00160081" w:rsidRPr="00160081" w:rsidRDefault="00160081" w:rsidP="00BD3D91">
            <w:pPr>
              <w:rPr>
                <w:rFonts w:cstheme="minorHAnsi"/>
                <w:sz w:val="20"/>
                <w:szCs w:val="20"/>
              </w:rPr>
            </w:pPr>
            <w:r w:rsidRPr="00160081">
              <w:rPr>
                <w:rFonts w:cstheme="minorHAnsi"/>
                <w:sz w:val="20"/>
                <w:szCs w:val="20"/>
              </w:rPr>
              <w:t>El BRMS deberá poder conectarse con bases de datos resultantes de procesos de explotación de datos o generación de modelos matemáticos necesarios para construir la regla de negocio. DATAFABRIC-SRI (STRATIO)</w:t>
            </w:r>
          </w:p>
        </w:tc>
        <w:tc>
          <w:tcPr>
            <w:tcW w:w="0" w:type="auto"/>
            <w:tcBorders>
              <w:top w:val="nil"/>
              <w:left w:val="nil"/>
              <w:bottom w:val="single" w:sz="4" w:space="0" w:color="auto"/>
              <w:right w:val="single" w:sz="4" w:space="0" w:color="auto"/>
            </w:tcBorders>
            <w:vAlign w:val="center"/>
            <w:hideMark/>
          </w:tcPr>
          <w:p w14:paraId="7292DCA5"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07279DFB"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7A2670B9"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7444FA95" w14:textId="77777777" w:rsidR="00160081" w:rsidRPr="00160081" w:rsidRDefault="00160081" w:rsidP="00BD3D91">
            <w:pPr>
              <w:jc w:val="center"/>
              <w:rPr>
                <w:rFonts w:cstheme="minorHAnsi"/>
                <w:b/>
                <w:bCs/>
                <w:sz w:val="20"/>
                <w:szCs w:val="20"/>
              </w:rPr>
            </w:pPr>
            <w:r w:rsidRPr="00160081">
              <w:rPr>
                <w:rFonts w:cstheme="minorHAnsi"/>
                <w:b/>
                <w:bCs/>
                <w:sz w:val="20"/>
                <w:szCs w:val="20"/>
              </w:rPr>
              <w:t>1.10</w:t>
            </w:r>
          </w:p>
        </w:tc>
        <w:tc>
          <w:tcPr>
            <w:tcW w:w="7015" w:type="dxa"/>
            <w:tcBorders>
              <w:top w:val="nil"/>
              <w:left w:val="nil"/>
              <w:bottom w:val="single" w:sz="4" w:space="0" w:color="auto"/>
              <w:right w:val="single" w:sz="4" w:space="0" w:color="auto"/>
            </w:tcBorders>
            <w:vAlign w:val="center"/>
            <w:hideMark/>
          </w:tcPr>
          <w:p w14:paraId="154E1001" w14:textId="77777777" w:rsidR="00160081" w:rsidRPr="00160081" w:rsidRDefault="00160081" w:rsidP="00BD3D91">
            <w:pPr>
              <w:rPr>
                <w:rFonts w:cstheme="minorHAnsi"/>
                <w:sz w:val="20"/>
                <w:szCs w:val="20"/>
              </w:rPr>
            </w:pPr>
            <w:r w:rsidRPr="00160081">
              <w:rPr>
                <w:rFonts w:cstheme="minorHAnsi"/>
                <w:sz w:val="20"/>
                <w:szCs w:val="20"/>
              </w:rPr>
              <w:t xml:space="preserve">El BRMS deberá incorporar un entorno de simulación y pruebas que permita validar el comportamiento de las reglas antes de su despliegue en producción, evaluando </w:t>
            </w:r>
            <w:proofErr w:type="gramStart"/>
            <w:r w:rsidRPr="00160081">
              <w:rPr>
                <w:rFonts w:cstheme="minorHAnsi"/>
                <w:sz w:val="20"/>
                <w:szCs w:val="20"/>
              </w:rPr>
              <w:t>escenarios  (</w:t>
            </w:r>
            <w:proofErr w:type="gramEnd"/>
            <w:r w:rsidRPr="00160081">
              <w:rPr>
                <w:rFonts w:cstheme="minorHAnsi"/>
                <w:sz w:val="20"/>
                <w:szCs w:val="20"/>
              </w:rPr>
              <w:t>“</w:t>
            </w:r>
            <w:proofErr w:type="spellStart"/>
            <w:r w:rsidRPr="00160081">
              <w:rPr>
                <w:rFonts w:cstheme="minorHAnsi"/>
                <w:sz w:val="20"/>
                <w:szCs w:val="20"/>
              </w:rPr>
              <w:t>what-if</w:t>
            </w:r>
            <w:proofErr w:type="spellEnd"/>
            <w:r w:rsidRPr="00160081">
              <w:rPr>
                <w:rFonts w:cstheme="minorHAnsi"/>
                <w:sz w:val="20"/>
                <w:szCs w:val="20"/>
              </w:rPr>
              <w:t xml:space="preserve"> </w:t>
            </w:r>
            <w:proofErr w:type="spellStart"/>
            <w:r w:rsidRPr="00160081">
              <w:rPr>
                <w:rFonts w:cstheme="minorHAnsi"/>
                <w:sz w:val="20"/>
                <w:szCs w:val="20"/>
              </w:rPr>
              <w:t>analysis</w:t>
            </w:r>
            <w:proofErr w:type="spellEnd"/>
            <w:proofErr w:type="gramStart"/>
            <w:r w:rsidRPr="00160081">
              <w:rPr>
                <w:rFonts w:cstheme="minorHAnsi"/>
                <w:sz w:val="20"/>
                <w:szCs w:val="20"/>
              </w:rPr>
              <w:t>”)  y</w:t>
            </w:r>
            <w:proofErr w:type="gramEnd"/>
            <w:r w:rsidRPr="00160081">
              <w:rPr>
                <w:rFonts w:cstheme="minorHAnsi"/>
                <w:sz w:val="20"/>
                <w:szCs w:val="20"/>
              </w:rPr>
              <w:t xml:space="preserve"> comparando resultados para evaluar el impacto de nuevas reglas antes de su publicación, incluyendo carga de </w:t>
            </w:r>
            <w:proofErr w:type="spellStart"/>
            <w:r w:rsidRPr="00160081">
              <w:rPr>
                <w:rFonts w:cstheme="minorHAnsi"/>
                <w:sz w:val="20"/>
                <w:szCs w:val="20"/>
              </w:rPr>
              <w:t>datasets</w:t>
            </w:r>
            <w:proofErr w:type="spellEnd"/>
            <w:r w:rsidRPr="00160081">
              <w:rPr>
                <w:rFonts w:cstheme="minorHAnsi"/>
                <w:sz w:val="20"/>
                <w:szCs w:val="20"/>
              </w:rPr>
              <w:t xml:space="preserve"> históricos. </w:t>
            </w:r>
          </w:p>
        </w:tc>
        <w:tc>
          <w:tcPr>
            <w:tcW w:w="0" w:type="auto"/>
            <w:tcBorders>
              <w:top w:val="nil"/>
              <w:left w:val="nil"/>
              <w:bottom w:val="single" w:sz="4" w:space="0" w:color="auto"/>
              <w:right w:val="single" w:sz="4" w:space="0" w:color="auto"/>
            </w:tcBorders>
            <w:vAlign w:val="center"/>
            <w:hideMark/>
          </w:tcPr>
          <w:p w14:paraId="6EC8C32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26F40311"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589A6575"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FBF6956" w14:textId="77777777" w:rsidR="00160081" w:rsidRPr="00160081" w:rsidRDefault="00160081" w:rsidP="00BD3D91">
            <w:pPr>
              <w:jc w:val="center"/>
              <w:rPr>
                <w:rFonts w:cstheme="minorHAnsi"/>
                <w:b/>
                <w:bCs/>
                <w:sz w:val="20"/>
                <w:szCs w:val="20"/>
              </w:rPr>
            </w:pPr>
            <w:r w:rsidRPr="00160081">
              <w:rPr>
                <w:rFonts w:cstheme="minorHAnsi"/>
                <w:b/>
                <w:bCs/>
                <w:sz w:val="20"/>
                <w:szCs w:val="20"/>
              </w:rPr>
              <w:t>1.11</w:t>
            </w:r>
          </w:p>
        </w:tc>
        <w:tc>
          <w:tcPr>
            <w:tcW w:w="7015" w:type="dxa"/>
            <w:tcBorders>
              <w:top w:val="nil"/>
              <w:left w:val="nil"/>
              <w:bottom w:val="single" w:sz="4" w:space="0" w:color="auto"/>
              <w:right w:val="single" w:sz="4" w:space="0" w:color="auto"/>
            </w:tcBorders>
            <w:vAlign w:val="center"/>
            <w:hideMark/>
          </w:tcPr>
          <w:p w14:paraId="5D38D318" w14:textId="77777777" w:rsidR="00160081" w:rsidRPr="00160081" w:rsidRDefault="00160081" w:rsidP="00BD3D91">
            <w:pPr>
              <w:rPr>
                <w:rFonts w:cstheme="minorHAnsi"/>
                <w:sz w:val="20"/>
                <w:szCs w:val="20"/>
              </w:rPr>
            </w:pPr>
            <w:r w:rsidRPr="00160081">
              <w:rPr>
                <w:rFonts w:cstheme="minorHAnsi"/>
                <w:sz w:val="20"/>
                <w:szCs w:val="20"/>
              </w:rPr>
              <w:t>El BRMS deberá generar un repositorio o catálogo centralizado de reglas.</w:t>
            </w:r>
          </w:p>
        </w:tc>
        <w:tc>
          <w:tcPr>
            <w:tcW w:w="0" w:type="auto"/>
            <w:tcBorders>
              <w:top w:val="nil"/>
              <w:left w:val="nil"/>
              <w:bottom w:val="single" w:sz="4" w:space="0" w:color="auto"/>
              <w:right w:val="single" w:sz="4" w:space="0" w:color="auto"/>
            </w:tcBorders>
            <w:vAlign w:val="center"/>
            <w:hideMark/>
          </w:tcPr>
          <w:p w14:paraId="68072B2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760FD63A"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294C2411"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633130B" w14:textId="77777777" w:rsidR="00160081" w:rsidRPr="00160081" w:rsidRDefault="00160081" w:rsidP="00BD3D91">
            <w:pPr>
              <w:jc w:val="center"/>
              <w:rPr>
                <w:rFonts w:cstheme="minorHAnsi"/>
                <w:b/>
                <w:bCs/>
                <w:sz w:val="20"/>
                <w:szCs w:val="20"/>
              </w:rPr>
            </w:pPr>
            <w:r w:rsidRPr="00160081">
              <w:rPr>
                <w:rFonts w:cstheme="minorHAnsi"/>
                <w:b/>
                <w:bCs/>
                <w:sz w:val="20"/>
                <w:szCs w:val="20"/>
              </w:rPr>
              <w:t>1.12</w:t>
            </w:r>
          </w:p>
        </w:tc>
        <w:tc>
          <w:tcPr>
            <w:tcW w:w="7015" w:type="dxa"/>
            <w:tcBorders>
              <w:top w:val="nil"/>
              <w:left w:val="nil"/>
              <w:bottom w:val="single" w:sz="4" w:space="0" w:color="auto"/>
              <w:right w:val="single" w:sz="4" w:space="0" w:color="auto"/>
            </w:tcBorders>
            <w:vAlign w:val="center"/>
            <w:hideMark/>
          </w:tcPr>
          <w:p w14:paraId="606E6928" w14:textId="77777777" w:rsidR="00160081" w:rsidRPr="00160081" w:rsidRDefault="00160081" w:rsidP="00BD3D91">
            <w:pPr>
              <w:rPr>
                <w:rFonts w:cstheme="minorHAnsi"/>
                <w:sz w:val="20"/>
                <w:szCs w:val="20"/>
              </w:rPr>
            </w:pPr>
            <w:r w:rsidRPr="00160081">
              <w:rPr>
                <w:rFonts w:cstheme="minorHAnsi"/>
                <w:sz w:val="20"/>
                <w:szCs w:val="20"/>
              </w:rPr>
              <w:t>El BRMS debe almacenar la nueva regla de negocio o su actualización en el repositorio o catálogo centralizado de reglas.</w:t>
            </w:r>
          </w:p>
        </w:tc>
        <w:tc>
          <w:tcPr>
            <w:tcW w:w="0" w:type="auto"/>
            <w:tcBorders>
              <w:top w:val="nil"/>
              <w:left w:val="nil"/>
              <w:bottom w:val="single" w:sz="4" w:space="0" w:color="auto"/>
              <w:right w:val="single" w:sz="4" w:space="0" w:color="auto"/>
            </w:tcBorders>
            <w:vAlign w:val="center"/>
            <w:hideMark/>
          </w:tcPr>
          <w:p w14:paraId="06C50D69"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50A01B82"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57E3D4BE"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91071D8" w14:textId="77777777" w:rsidR="00160081" w:rsidRPr="00160081" w:rsidRDefault="00160081" w:rsidP="00BD3D91">
            <w:pPr>
              <w:jc w:val="center"/>
              <w:rPr>
                <w:rFonts w:cstheme="minorHAnsi"/>
                <w:b/>
                <w:bCs/>
                <w:sz w:val="20"/>
                <w:szCs w:val="20"/>
              </w:rPr>
            </w:pPr>
            <w:r w:rsidRPr="00160081">
              <w:rPr>
                <w:rFonts w:cstheme="minorHAnsi"/>
                <w:b/>
                <w:bCs/>
                <w:sz w:val="20"/>
                <w:szCs w:val="20"/>
              </w:rPr>
              <w:t>1.13</w:t>
            </w:r>
          </w:p>
        </w:tc>
        <w:tc>
          <w:tcPr>
            <w:tcW w:w="7015" w:type="dxa"/>
            <w:tcBorders>
              <w:top w:val="nil"/>
              <w:left w:val="nil"/>
              <w:bottom w:val="single" w:sz="4" w:space="0" w:color="auto"/>
              <w:right w:val="single" w:sz="4" w:space="0" w:color="auto"/>
            </w:tcBorders>
            <w:vAlign w:val="center"/>
            <w:hideMark/>
          </w:tcPr>
          <w:p w14:paraId="36EC6B39" w14:textId="77777777" w:rsidR="00160081" w:rsidRPr="00160081" w:rsidRDefault="00160081" w:rsidP="00BD3D91">
            <w:pPr>
              <w:rPr>
                <w:rFonts w:cstheme="minorHAnsi"/>
                <w:sz w:val="20"/>
                <w:szCs w:val="20"/>
              </w:rPr>
            </w:pPr>
            <w:r w:rsidRPr="00160081">
              <w:rPr>
                <w:rFonts w:cstheme="minorHAnsi"/>
                <w:sz w:val="20"/>
                <w:szCs w:val="20"/>
              </w:rPr>
              <w:t>El BRMS debe permitir al usuario seleccionar de las reglas de negocio disponibles, las que considere pertinente y suficientes para gestionar una necesidad.</w:t>
            </w:r>
          </w:p>
        </w:tc>
        <w:tc>
          <w:tcPr>
            <w:tcW w:w="0" w:type="auto"/>
            <w:tcBorders>
              <w:top w:val="nil"/>
              <w:left w:val="nil"/>
              <w:bottom w:val="single" w:sz="4" w:space="0" w:color="auto"/>
              <w:right w:val="single" w:sz="4" w:space="0" w:color="auto"/>
            </w:tcBorders>
            <w:vAlign w:val="center"/>
            <w:hideMark/>
          </w:tcPr>
          <w:p w14:paraId="26DA37EF"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1CA09794"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243518AF"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5A655DE8" w14:textId="77777777" w:rsidR="00160081" w:rsidRPr="00160081" w:rsidRDefault="00160081" w:rsidP="00BD3D91">
            <w:pPr>
              <w:jc w:val="center"/>
              <w:rPr>
                <w:rFonts w:cstheme="minorHAnsi"/>
                <w:b/>
                <w:bCs/>
                <w:sz w:val="20"/>
                <w:szCs w:val="20"/>
              </w:rPr>
            </w:pPr>
            <w:r w:rsidRPr="00160081">
              <w:rPr>
                <w:rFonts w:cstheme="minorHAnsi"/>
                <w:b/>
                <w:bCs/>
                <w:sz w:val="20"/>
                <w:szCs w:val="20"/>
              </w:rPr>
              <w:t>1.14</w:t>
            </w:r>
          </w:p>
        </w:tc>
        <w:tc>
          <w:tcPr>
            <w:tcW w:w="7015" w:type="dxa"/>
            <w:tcBorders>
              <w:top w:val="nil"/>
              <w:left w:val="nil"/>
              <w:bottom w:val="single" w:sz="4" w:space="0" w:color="auto"/>
              <w:right w:val="single" w:sz="4" w:space="0" w:color="auto"/>
            </w:tcBorders>
            <w:vAlign w:val="center"/>
            <w:hideMark/>
          </w:tcPr>
          <w:p w14:paraId="7DD061CC" w14:textId="77777777" w:rsidR="00160081" w:rsidRPr="00160081" w:rsidRDefault="00160081" w:rsidP="00BD3D91">
            <w:pPr>
              <w:rPr>
                <w:rFonts w:cstheme="minorHAnsi"/>
                <w:sz w:val="20"/>
                <w:szCs w:val="20"/>
              </w:rPr>
            </w:pPr>
            <w:r w:rsidRPr="00160081">
              <w:rPr>
                <w:rFonts w:cstheme="minorHAnsi"/>
                <w:sz w:val="20"/>
                <w:szCs w:val="20"/>
              </w:rPr>
              <w:t>El BRMS debe manejar versiones de reglas (historial, vigencia desde/hasta).</w:t>
            </w:r>
          </w:p>
        </w:tc>
        <w:tc>
          <w:tcPr>
            <w:tcW w:w="0" w:type="auto"/>
            <w:tcBorders>
              <w:top w:val="nil"/>
              <w:left w:val="nil"/>
              <w:bottom w:val="single" w:sz="4" w:space="0" w:color="auto"/>
              <w:right w:val="single" w:sz="4" w:space="0" w:color="auto"/>
            </w:tcBorders>
            <w:vAlign w:val="center"/>
            <w:hideMark/>
          </w:tcPr>
          <w:p w14:paraId="3E44CB1E"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7031090D"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46777A2B"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400A6DA" w14:textId="77777777" w:rsidR="00160081" w:rsidRPr="00160081" w:rsidRDefault="00160081" w:rsidP="00BD3D91">
            <w:pPr>
              <w:jc w:val="center"/>
              <w:rPr>
                <w:rFonts w:cstheme="minorHAnsi"/>
                <w:b/>
                <w:bCs/>
                <w:sz w:val="20"/>
                <w:szCs w:val="20"/>
              </w:rPr>
            </w:pPr>
            <w:r w:rsidRPr="00160081">
              <w:rPr>
                <w:rFonts w:cstheme="minorHAnsi"/>
                <w:b/>
                <w:bCs/>
                <w:sz w:val="20"/>
                <w:szCs w:val="20"/>
              </w:rPr>
              <w:t>1.15</w:t>
            </w:r>
          </w:p>
        </w:tc>
        <w:tc>
          <w:tcPr>
            <w:tcW w:w="7015" w:type="dxa"/>
            <w:tcBorders>
              <w:top w:val="nil"/>
              <w:left w:val="nil"/>
              <w:bottom w:val="single" w:sz="4" w:space="0" w:color="auto"/>
              <w:right w:val="single" w:sz="4" w:space="0" w:color="auto"/>
            </w:tcBorders>
            <w:vAlign w:val="center"/>
            <w:hideMark/>
          </w:tcPr>
          <w:p w14:paraId="480DB24A" w14:textId="77777777" w:rsidR="00160081" w:rsidRPr="00160081" w:rsidRDefault="00160081" w:rsidP="00BD3D91">
            <w:pPr>
              <w:rPr>
                <w:rFonts w:cstheme="minorHAnsi"/>
                <w:sz w:val="20"/>
                <w:szCs w:val="20"/>
              </w:rPr>
            </w:pPr>
            <w:r w:rsidRPr="00160081">
              <w:rPr>
                <w:rFonts w:cstheme="minorHAnsi"/>
                <w:sz w:val="20"/>
                <w:szCs w:val="20"/>
              </w:rPr>
              <w:t>El BRMS deberá solicitar la revisión y aprobación de las reglas de negocio construidas. Flujos de aprobación para altas, modificaciones y bajas de reglas.</w:t>
            </w:r>
          </w:p>
        </w:tc>
        <w:tc>
          <w:tcPr>
            <w:tcW w:w="0" w:type="auto"/>
            <w:tcBorders>
              <w:top w:val="nil"/>
              <w:left w:val="nil"/>
              <w:bottom w:val="single" w:sz="4" w:space="0" w:color="auto"/>
              <w:right w:val="single" w:sz="4" w:space="0" w:color="auto"/>
            </w:tcBorders>
            <w:vAlign w:val="center"/>
            <w:hideMark/>
          </w:tcPr>
          <w:p w14:paraId="507DAA75"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000121BA" w14:textId="77777777" w:rsidR="00160081" w:rsidRPr="00160081" w:rsidRDefault="00160081" w:rsidP="00BD3D91">
            <w:pPr>
              <w:jc w:val="center"/>
              <w:rPr>
                <w:rFonts w:cstheme="minorHAnsi"/>
                <w:b/>
                <w:bCs/>
                <w:sz w:val="20"/>
                <w:szCs w:val="20"/>
              </w:rPr>
            </w:pPr>
            <w:r w:rsidRPr="00160081">
              <w:rPr>
                <w:rFonts w:cstheme="minorHAnsi"/>
                <w:b/>
                <w:bCs/>
                <w:sz w:val="20"/>
                <w:szCs w:val="20"/>
              </w:rPr>
              <w:t> </w:t>
            </w:r>
          </w:p>
        </w:tc>
      </w:tr>
      <w:tr w:rsidR="00160081" w:rsidRPr="00160081" w14:paraId="060B98BB"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709693CB" w14:textId="77777777" w:rsidR="00160081" w:rsidRPr="00160081" w:rsidRDefault="00160081" w:rsidP="00BD3D91">
            <w:pPr>
              <w:jc w:val="center"/>
              <w:rPr>
                <w:rFonts w:cstheme="minorHAnsi"/>
                <w:b/>
                <w:bCs/>
                <w:sz w:val="20"/>
                <w:szCs w:val="20"/>
              </w:rPr>
            </w:pPr>
            <w:r w:rsidRPr="00160081">
              <w:rPr>
                <w:rFonts w:cstheme="minorHAnsi"/>
                <w:b/>
                <w:bCs/>
                <w:sz w:val="20"/>
                <w:szCs w:val="20"/>
              </w:rPr>
              <w:t>1.16</w:t>
            </w:r>
          </w:p>
        </w:tc>
        <w:tc>
          <w:tcPr>
            <w:tcW w:w="7015" w:type="dxa"/>
            <w:tcBorders>
              <w:top w:val="nil"/>
              <w:left w:val="nil"/>
              <w:bottom w:val="single" w:sz="4" w:space="0" w:color="auto"/>
              <w:right w:val="single" w:sz="4" w:space="0" w:color="auto"/>
            </w:tcBorders>
            <w:vAlign w:val="center"/>
            <w:hideMark/>
          </w:tcPr>
          <w:p w14:paraId="5BB0C815" w14:textId="77777777" w:rsidR="00160081" w:rsidRPr="00160081" w:rsidRDefault="00160081" w:rsidP="00BD3D91">
            <w:pPr>
              <w:rPr>
                <w:rFonts w:cstheme="minorHAnsi"/>
                <w:sz w:val="20"/>
                <w:szCs w:val="20"/>
              </w:rPr>
            </w:pPr>
            <w:r w:rsidRPr="00160081">
              <w:rPr>
                <w:rFonts w:cstheme="minorHAnsi"/>
                <w:sz w:val="20"/>
                <w:szCs w:val="20"/>
              </w:rPr>
              <w:t>El BRMS debe registrar estados de las reglas (borrador, prueba, aprobado, publicado, retirado).</w:t>
            </w:r>
          </w:p>
        </w:tc>
        <w:tc>
          <w:tcPr>
            <w:tcW w:w="0" w:type="auto"/>
            <w:tcBorders>
              <w:top w:val="nil"/>
              <w:left w:val="nil"/>
              <w:bottom w:val="single" w:sz="4" w:space="0" w:color="auto"/>
              <w:right w:val="single" w:sz="4" w:space="0" w:color="auto"/>
            </w:tcBorders>
            <w:vAlign w:val="center"/>
            <w:hideMark/>
          </w:tcPr>
          <w:p w14:paraId="27F8B8D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0BD85A44" w14:textId="77777777" w:rsidR="00160081" w:rsidRPr="00160081" w:rsidRDefault="00160081" w:rsidP="00BD3D91">
            <w:pPr>
              <w:jc w:val="center"/>
              <w:rPr>
                <w:rFonts w:cstheme="minorHAnsi"/>
                <w:b/>
                <w:bCs/>
                <w:sz w:val="20"/>
                <w:szCs w:val="20"/>
              </w:rPr>
            </w:pPr>
            <w:r w:rsidRPr="00160081">
              <w:rPr>
                <w:rFonts w:cstheme="minorHAnsi"/>
                <w:b/>
                <w:bCs/>
                <w:sz w:val="20"/>
                <w:szCs w:val="20"/>
              </w:rPr>
              <w:t> </w:t>
            </w:r>
          </w:p>
        </w:tc>
      </w:tr>
      <w:tr w:rsidR="00160081" w:rsidRPr="00160081" w14:paraId="5738A869"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05EEEFFD" w14:textId="77777777" w:rsidR="00160081" w:rsidRPr="00160081" w:rsidRDefault="00160081" w:rsidP="00BD3D91">
            <w:pPr>
              <w:jc w:val="center"/>
              <w:rPr>
                <w:rFonts w:cstheme="minorHAnsi"/>
                <w:b/>
                <w:bCs/>
                <w:sz w:val="20"/>
                <w:szCs w:val="20"/>
              </w:rPr>
            </w:pPr>
            <w:r w:rsidRPr="00160081">
              <w:rPr>
                <w:rFonts w:cstheme="minorHAnsi"/>
                <w:b/>
                <w:bCs/>
                <w:sz w:val="20"/>
                <w:szCs w:val="20"/>
              </w:rPr>
              <w:t>1.17</w:t>
            </w:r>
          </w:p>
        </w:tc>
        <w:tc>
          <w:tcPr>
            <w:tcW w:w="7015" w:type="dxa"/>
            <w:tcBorders>
              <w:top w:val="nil"/>
              <w:left w:val="nil"/>
              <w:bottom w:val="single" w:sz="4" w:space="0" w:color="auto"/>
              <w:right w:val="single" w:sz="4" w:space="0" w:color="auto"/>
            </w:tcBorders>
            <w:vAlign w:val="center"/>
            <w:hideMark/>
          </w:tcPr>
          <w:p w14:paraId="3A797D46" w14:textId="77777777" w:rsidR="00160081" w:rsidRPr="00160081" w:rsidRDefault="00160081" w:rsidP="00BD3D91">
            <w:pPr>
              <w:rPr>
                <w:rFonts w:cstheme="minorHAnsi"/>
                <w:sz w:val="20"/>
                <w:szCs w:val="20"/>
              </w:rPr>
            </w:pPr>
            <w:r w:rsidRPr="00160081">
              <w:rPr>
                <w:rFonts w:cstheme="minorHAnsi"/>
                <w:sz w:val="20"/>
                <w:szCs w:val="20"/>
              </w:rPr>
              <w:t>El BRMS debe poder realizar auditoría de cambios: quién, cuándo y qué se modificó.</w:t>
            </w:r>
          </w:p>
        </w:tc>
        <w:tc>
          <w:tcPr>
            <w:tcW w:w="0" w:type="auto"/>
            <w:tcBorders>
              <w:top w:val="nil"/>
              <w:left w:val="nil"/>
              <w:bottom w:val="single" w:sz="4" w:space="0" w:color="auto"/>
              <w:right w:val="single" w:sz="4" w:space="0" w:color="auto"/>
            </w:tcBorders>
            <w:vAlign w:val="center"/>
            <w:hideMark/>
          </w:tcPr>
          <w:p w14:paraId="61C7C164"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475306CC" w14:textId="77777777" w:rsidR="00160081" w:rsidRPr="00160081" w:rsidRDefault="00160081" w:rsidP="00BD3D91">
            <w:pPr>
              <w:jc w:val="center"/>
              <w:rPr>
                <w:rFonts w:cstheme="minorHAnsi"/>
                <w:b/>
                <w:bCs/>
                <w:sz w:val="20"/>
                <w:szCs w:val="20"/>
              </w:rPr>
            </w:pPr>
            <w:r w:rsidRPr="00160081">
              <w:rPr>
                <w:rFonts w:cstheme="minorHAnsi"/>
                <w:b/>
                <w:bCs/>
                <w:sz w:val="20"/>
                <w:szCs w:val="20"/>
              </w:rPr>
              <w:t> </w:t>
            </w:r>
          </w:p>
        </w:tc>
      </w:tr>
      <w:tr w:rsidR="00160081" w:rsidRPr="00160081" w14:paraId="19135FEA"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3A197FE" w14:textId="77777777" w:rsidR="00160081" w:rsidRPr="00160081" w:rsidRDefault="00160081" w:rsidP="00BD3D91">
            <w:pPr>
              <w:jc w:val="center"/>
              <w:rPr>
                <w:rFonts w:cstheme="minorHAnsi"/>
                <w:b/>
                <w:bCs/>
                <w:sz w:val="20"/>
                <w:szCs w:val="20"/>
              </w:rPr>
            </w:pPr>
            <w:r w:rsidRPr="00160081">
              <w:rPr>
                <w:rFonts w:cstheme="minorHAnsi"/>
                <w:b/>
                <w:bCs/>
                <w:sz w:val="20"/>
                <w:szCs w:val="20"/>
              </w:rPr>
              <w:t>1.18</w:t>
            </w:r>
          </w:p>
        </w:tc>
        <w:tc>
          <w:tcPr>
            <w:tcW w:w="7015" w:type="dxa"/>
            <w:tcBorders>
              <w:top w:val="nil"/>
              <w:left w:val="nil"/>
              <w:bottom w:val="single" w:sz="4" w:space="0" w:color="auto"/>
              <w:right w:val="single" w:sz="4" w:space="0" w:color="auto"/>
            </w:tcBorders>
            <w:vAlign w:val="center"/>
            <w:hideMark/>
          </w:tcPr>
          <w:p w14:paraId="5950A890" w14:textId="77777777" w:rsidR="00160081" w:rsidRPr="00160081" w:rsidRDefault="00160081" w:rsidP="00BD3D91">
            <w:pPr>
              <w:rPr>
                <w:rFonts w:cstheme="minorHAnsi"/>
                <w:sz w:val="20"/>
                <w:szCs w:val="20"/>
              </w:rPr>
            </w:pPr>
            <w:r w:rsidRPr="00160081">
              <w:rPr>
                <w:rFonts w:cstheme="minorHAnsi"/>
                <w:sz w:val="20"/>
                <w:szCs w:val="20"/>
              </w:rPr>
              <w:t>El BRMS deberá integrarse o conectarse con diferentes sistemas, módulos, aplicativos, etc., internos del SRI para que las reglas de negocio sean aplicadas o ejecutadas.</w:t>
            </w:r>
          </w:p>
        </w:tc>
        <w:tc>
          <w:tcPr>
            <w:tcW w:w="0" w:type="auto"/>
            <w:tcBorders>
              <w:top w:val="nil"/>
              <w:left w:val="nil"/>
              <w:bottom w:val="single" w:sz="4" w:space="0" w:color="auto"/>
              <w:right w:val="single" w:sz="4" w:space="0" w:color="auto"/>
            </w:tcBorders>
            <w:vAlign w:val="center"/>
            <w:hideMark/>
          </w:tcPr>
          <w:p w14:paraId="065F8C7C"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1A9D214E"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07FA32B2"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7535ECA" w14:textId="77777777" w:rsidR="00160081" w:rsidRPr="00160081" w:rsidRDefault="00160081" w:rsidP="00BD3D91">
            <w:pPr>
              <w:jc w:val="center"/>
              <w:rPr>
                <w:rFonts w:cstheme="minorHAnsi"/>
                <w:b/>
                <w:bCs/>
                <w:sz w:val="20"/>
                <w:szCs w:val="20"/>
              </w:rPr>
            </w:pPr>
            <w:r w:rsidRPr="00160081">
              <w:rPr>
                <w:rFonts w:cstheme="minorHAnsi"/>
                <w:b/>
                <w:bCs/>
                <w:sz w:val="20"/>
                <w:szCs w:val="20"/>
              </w:rPr>
              <w:t>1.19</w:t>
            </w:r>
          </w:p>
        </w:tc>
        <w:tc>
          <w:tcPr>
            <w:tcW w:w="7015" w:type="dxa"/>
            <w:tcBorders>
              <w:top w:val="nil"/>
              <w:left w:val="nil"/>
              <w:bottom w:val="single" w:sz="4" w:space="0" w:color="auto"/>
              <w:right w:val="single" w:sz="4" w:space="0" w:color="auto"/>
            </w:tcBorders>
            <w:vAlign w:val="center"/>
            <w:hideMark/>
          </w:tcPr>
          <w:p w14:paraId="7468297F" w14:textId="77777777" w:rsidR="00160081" w:rsidRPr="00160081" w:rsidRDefault="00160081" w:rsidP="00BD3D91">
            <w:pPr>
              <w:rPr>
                <w:rFonts w:cstheme="minorHAnsi"/>
                <w:sz w:val="20"/>
                <w:szCs w:val="20"/>
              </w:rPr>
            </w:pPr>
            <w:r w:rsidRPr="00160081">
              <w:rPr>
                <w:rFonts w:cstheme="minorHAnsi"/>
                <w:sz w:val="20"/>
                <w:szCs w:val="20"/>
              </w:rPr>
              <w:t>El BRMS deberá informar a los usuarios responsables de otras unidades o sistemas, aplicativos, etc. una alerta o aviso informativo de que las reglas de negocio a aplicarse se han asignado o cargado para las gestiones correspondientes.</w:t>
            </w:r>
          </w:p>
        </w:tc>
        <w:tc>
          <w:tcPr>
            <w:tcW w:w="0" w:type="auto"/>
            <w:tcBorders>
              <w:top w:val="nil"/>
              <w:left w:val="nil"/>
              <w:bottom w:val="single" w:sz="4" w:space="0" w:color="auto"/>
              <w:right w:val="single" w:sz="4" w:space="0" w:color="auto"/>
            </w:tcBorders>
            <w:vAlign w:val="center"/>
            <w:hideMark/>
          </w:tcPr>
          <w:p w14:paraId="5B0CDD3A"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178FF016"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5F934413"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4777AB5" w14:textId="77777777" w:rsidR="00160081" w:rsidRPr="00160081" w:rsidRDefault="00160081" w:rsidP="00BD3D91">
            <w:pPr>
              <w:jc w:val="center"/>
              <w:rPr>
                <w:rFonts w:cstheme="minorHAnsi"/>
                <w:b/>
                <w:bCs/>
                <w:sz w:val="20"/>
                <w:szCs w:val="20"/>
              </w:rPr>
            </w:pPr>
            <w:r w:rsidRPr="00160081">
              <w:rPr>
                <w:rFonts w:cstheme="minorHAnsi"/>
                <w:b/>
                <w:bCs/>
                <w:sz w:val="20"/>
                <w:szCs w:val="20"/>
              </w:rPr>
              <w:t>1.20</w:t>
            </w:r>
          </w:p>
        </w:tc>
        <w:tc>
          <w:tcPr>
            <w:tcW w:w="7015" w:type="dxa"/>
            <w:tcBorders>
              <w:top w:val="nil"/>
              <w:left w:val="nil"/>
              <w:bottom w:val="single" w:sz="4" w:space="0" w:color="auto"/>
              <w:right w:val="single" w:sz="4" w:space="0" w:color="auto"/>
            </w:tcBorders>
            <w:vAlign w:val="center"/>
            <w:hideMark/>
          </w:tcPr>
          <w:p w14:paraId="16AB3365" w14:textId="77777777" w:rsidR="00160081" w:rsidRPr="00160081" w:rsidRDefault="00160081" w:rsidP="00BD3D91">
            <w:pPr>
              <w:rPr>
                <w:rFonts w:cstheme="minorHAnsi"/>
                <w:sz w:val="20"/>
                <w:szCs w:val="20"/>
              </w:rPr>
            </w:pPr>
            <w:r w:rsidRPr="00160081">
              <w:rPr>
                <w:rFonts w:cstheme="minorHAnsi"/>
                <w:sz w:val="20"/>
                <w:szCs w:val="20"/>
              </w:rPr>
              <w:t>El BRMS deberá generar el documento de resultados correspondiente sobre las reglas de negocio a aplicarse, para que se lleven a cabo el registro de todas las acciones y definiciones realizadas.</w:t>
            </w:r>
          </w:p>
        </w:tc>
        <w:tc>
          <w:tcPr>
            <w:tcW w:w="0" w:type="auto"/>
            <w:tcBorders>
              <w:top w:val="nil"/>
              <w:left w:val="nil"/>
              <w:bottom w:val="single" w:sz="4" w:space="0" w:color="auto"/>
              <w:right w:val="single" w:sz="4" w:space="0" w:color="auto"/>
            </w:tcBorders>
            <w:vAlign w:val="center"/>
            <w:hideMark/>
          </w:tcPr>
          <w:p w14:paraId="40DF61A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54B28488" w14:textId="77777777" w:rsidR="00160081" w:rsidRPr="00160081" w:rsidRDefault="00160081" w:rsidP="00BD3D91">
            <w:pPr>
              <w:jc w:val="center"/>
              <w:rPr>
                <w:rFonts w:cstheme="minorHAnsi"/>
                <w:sz w:val="20"/>
                <w:szCs w:val="20"/>
              </w:rPr>
            </w:pPr>
            <w:r w:rsidRPr="00160081">
              <w:rPr>
                <w:rFonts w:cstheme="minorHAnsi"/>
                <w:sz w:val="20"/>
                <w:szCs w:val="20"/>
              </w:rPr>
              <w:t> </w:t>
            </w:r>
          </w:p>
        </w:tc>
      </w:tr>
      <w:tr w:rsidR="00160081" w:rsidRPr="00160081" w14:paraId="2A2F9E52"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FA7719B" w14:textId="77777777" w:rsidR="00160081" w:rsidRPr="00160081" w:rsidRDefault="00160081" w:rsidP="00BD3D91">
            <w:pPr>
              <w:jc w:val="center"/>
              <w:rPr>
                <w:rFonts w:cstheme="minorHAnsi"/>
                <w:b/>
                <w:bCs/>
                <w:sz w:val="20"/>
                <w:szCs w:val="20"/>
              </w:rPr>
            </w:pPr>
            <w:r w:rsidRPr="00160081">
              <w:rPr>
                <w:rFonts w:cstheme="minorHAnsi"/>
                <w:b/>
                <w:bCs/>
                <w:sz w:val="20"/>
                <w:szCs w:val="20"/>
              </w:rPr>
              <w:t>1.21</w:t>
            </w:r>
          </w:p>
        </w:tc>
        <w:tc>
          <w:tcPr>
            <w:tcW w:w="7015" w:type="dxa"/>
            <w:tcBorders>
              <w:top w:val="nil"/>
              <w:left w:val="nil"/>
              <w:bottom w:val="single" w:sz="4" w:space="0" w:color="auto"/>
              <w:right w:val="single" w:sz="4" w:space="0" w:color="auto"/>
            </w:tcBorders>
            <w:vAlign w:val="center"/>
            <w:hideMark/>
          </w:tcPr>
          <w:p w14:paraId="45BE25F1" w14:textId="77777777" w:rsidR="00160081" w:rsidRPr="00160081" w:rsidRDefault="00160081" w:rsidP="00BD3D91">
            <w:pPr>
              <w:rPr>
                <w:rFonts w:cstheme="minorHAnsi"/>
                <w:sz w:val="20"/>
                <w:szCs w:val="20"/>
              </w:rPr>
            </w:pPr>
            <w:r w:rsidRPr="00160081">
              <w:rPr>
                <w:rFonts w:cstheme="minorHAnsi"/>
                <w:sz w:val="20"/>
                <w:szCs w:val="20"/>
              </w:rPr>
              <w:t xml:space="preserve">El BRMS deberá entregar al proceso de GESTIÓN DOCUMENTAL toda la documentación generada dentro de la orden de trabajo, para conformar el expediente </w:t>
            </w:r>
            <w:proofErr w:type="gramStart"/>
            <w:r w:rsidRPr="00160081">
              <w:rPr>
                <w:rFonts w:cstheme="minorHAnsi"/>
                <w:sz w:val="20"/>
                <w:szCs w:val="20"/>
              </w:rPr>
              <w:t>de acuerdo a</w:t>
            </w:r>
            <w:proofErr w:type="gramEnd"/>
            <w:r w:rsidRPr="00160081">
              <w:rPr>
                <w:rFonts w:cstheme="minorHAnsi"/>
                <w:sz w:val="20"/>
                <w:szCs w:val="20"/>
              </w:rPr>
              <w:t xml:space="preserve"> la estructura del grupo documental.</w:t>
            </w:r>
          </w:p>
        </w:tc>
        <w:tc>
          <w:tcPr>
            <w:tcW w:w="0" w:type="auto"/>
            <w:tcBorders>
              <w:top w:val="nil"/>
              <w:left w:val="nil"/>
              <w:bottom w:val="single" w:sz="4" w:space="0" w:color="auto"/>
              <w:right w:val="single" w:sz="4" w:space="0" w:color="auto"/>
            </w:tcBorders>
            <w:vAlign w:val="center"/>
            <w:hideMark/>
          </w:tcPr>
          <w:p w14:paraId="2AC27834" w14:textId="77777777" w:rsidR="00160081" w:rsidRPr="00160081" w:rsidRDefault="00160081" w:rsidP="00BD3D91">
            <w:pPr>
              <w:jc w:val="center"/>
              <w:rPr>
                <w:rFonts w:cstheme="minorHAnsi"/>
                <w:sz w:val="20"/>
                <w:szCs w:val="20"/>
              </w:rPr>
            </w:pPr>
            <w:r w:rsidRPr="00160081">
              <w:rPr>
                <w:rFonts w:cstheme="minorHAnsi"/>
                <w:sz w:val="20"/>
                <w:szCs w:val="20"/>
              </w:rPr>
              <w:t> </w:t>
            </w:r>
          </w:p>
        </w:tc>
        <w:tc>
          <w:tcPr>
            <w:tcW w:w="1618" w:type="dxa"/>
            <w:tcBorders>
              <w:top w:val="nil"/>
              <w:left w:val="nil"/>
              <w:bottom w:val="single" w:sz="4" w:space="0" w:color="auto"/>
              <w:right w:val="single" w:sz="4" w:space="0" w:color="auto"/>
            </w:tcBorders>
            <w:vAlign w:val="center"/>
            <w:hideMark/>
          </w:tcPr>
          <w:p w14:paraId="018A1AB7" w14:textId="77777777" w:rsidR="00160081" w:rsidRPr="00160081" w:rsidRDefault="00160081" w:rsidP="00BD3D91">
            <w:pPr>
              <w:jc w:val="center"/>
              <w:rPr>
                <w:rFonts w:cstheme="minorHAnsi"/>
                <w:sz w:val="20"/>
                <w:szCs w:val="20"/>
              </w:rPr>
            </w:pPr>
            <w:r w:rsidRPr="00160081">
              <w:rPr>
                <w:rFonts w:cstheme="minorHAnsi"/>
                <w:sz w:val="20"/>
                <w:szCs w:val="20"/>
              </w:rPr>
              <w:t>X</w:t>
            </w:r>
          </w:p>
        </w:tc>
      </w:tr>
      <w:tr w:rsidR="00160081" w:rsidRPr="00160081" w14:paraId="5F6A6C74"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7FD98056" w14:textId="77777777" w:rsidR="00160081" w:rsidRPr="00160081" w:rsidRDefault="00160081" w:rsidP="00BD3D91">
            <w:pPr>
              <w:jc w:val="center"/>
              <w:rPr>
                <w:rFonts w:cstheme="minorHAnsi"/>
                <w:b/>
                <w:bCs/>
                <w:sz w:val="20"/>
                <w:szCs w:val="20"/>
              </w:rPr>
            </w:pPr>
            <w:r w:rsidRPr="00160081">
              <w:rPr>
                <w:rFonts w:cstheme="minorHAnsi"/>
                <w:b/>
                <w:bCs/>
                <w:sz w:val="20"/>
                <w:szCs w:val="20"/>
              </w:rPr>
              <w:t>2</w:t>
            </w:r>
          </w:p>
        </w:tc>
        <w:tc>
          <w:tcPr>
            <w:tcW w:w="7015" w:type="dxa"/>
            <w:tcBorders>
              <w:top w:val="nil"/>
              <w:left w:val="nil"/>
              <w:bottom w:val="single" w:sz="4" w:space="0" w:color="auto"/>
              <w:right w:val="single" w:sz="4" w:space="0" w:color="auto"/>
            </w:tcBorders>
            <w:shd w:val="clear" w:color="DBE9F7" w:fill="DBE9F7"/>
            <w:vAlign w:val="center"/>
            <w:hideMark/>
          </w:tcPr>
          <w:p w14:paraId="561D52B2" w14:textId="77777777" w:rsidR="00160081" w:rsidRPr="00160081" w:rsidRDefault="00160081" w:rsidP="00BD3D91">
            <w:pPr>
              <w:rPr>
                <w:rFonts w:cstheme="minorHAnsi"/>
                <w:b/>
                <w:bCs/>
                <w:sz w:val="20"/>
                <w:szCs w:val="20"/>
              </w:rPr>
            </w:pPr>
            <w:r w:rsidRPr="00160081">
              <w:rPr>
                <w:rFonts w:cstheme="minorHAnsi"/>
                <w:b/>
                <w:bCs/>
                <w:sz w:val="20"/>
                <w:szCs w:val="20"/>
              </w:rPr>
              <w:t>CAPACIDADES DEL COMPONENTE</w:t>
            </w:r>
          </w:p>
        </w:tc>
        <w:tc>
          <w:tcPr>
            <w:tcW w:w="0" w:type="auto"/>
            <w:tcBorders>
              <w:top w:val="nil"/>
              <w:left w:val="nil"/>
              <w:bottom w:val="single" w:sz="4" w:space="0" w:color="auto"/>
              <w:right w:val="single" w:sz="4" w:space="0" w:color="auto"/>
            </w:tcBorders>
            <w:shd w:val="clear" w:color="DBE9F7" w:fill="DBE9F7"/>
            <w:vAlign w:val="center"/>
            <w:hideMark/>
          </w:tcPr>
          <w:p w14:paraId="3DFA6B07" w14:textId="77777777" w:rsidR="00160081" w:rsidRPr="00160081" w:rsidRDefault="00160081" w:rsidP="00BD3D91">
            <w:pPr>
              <w:jc w:val="center"/>
              <w:rPr>
                <w:rFonts w:cstheme="minorHAnsi"/>
                <w:b/>
                <w:bCs/>
                <w:sz w:val="20"/>
                <w:szCs w:val="20"/>
              </w:rPr>
            </w:pPr>
            <w:r w:rsidRPr="00160081">
              <w:rPr>
                <w:rFonts w:cstheme="minorHAnsi"/>
                <w:b/>
                <w:bCs/>
                <w:sz w:val="20"/>
                <w:szCs w:val="20"/>
              </w:rPr>
              <w:t>NECESARIA</w:t>
            </w:r>
          </w:p>
        </w:tc>
        <w:tc>
          <w:tcPr>
            <w:tcW w:w="1618" w:type="dxa"/>
            <w:tcBorders>
              <w:top w:val="nil"/>
              <w:left w:val="nil"/>
              <w:bottom w:val="single" w:sz="4" w:space="0" w:color="auto"/>
              <w:right w:val="single" w:sz="4" w:space="0" w:color="auto"/>
            </w:tcBorders>
            <w:shd w:val="clear" w:color="DBE9F7" w:fill="DBE9F7"/>
            <w:vAlign w:val="center"/>
            <w:hideMark/>
          </w:tcPr>
          <w:p w14:paraId="4AE8C8C1" w14:textId="77777777" w:rsidR="00160081" w:rsidRPr="00160081" w:rsidRDefault="00160081" w:rsidP="00BD3D91">
            <w:pPr>
              <w:jc w:val="center"/>
              <w:rPr>
                <w:rFonts w:cstheme="minorHAnsi"/>
                <w:b/>
                <w:bCs/>
                <w:sz w:val="20"/>
                <w:szCs w:val="20"/>
              </w:rPr>
            </w:pPr>
            <w:r w:rsidRPr="00160081">
              <w:rPr>
                <w:rFonts w:cstheme="minorHAnsi"/>
                <w:b/>
                <w:bCs/>
                <w:sz w:val="20"/>
                <w:szCs w:val="20"/>
              </w:rPr>
              <w:t>IMPORTANTE</w:t>
            </w:r>
          </w:p>
        </w:tc>
      </w:tr>
      <w:tr w:rsidR="00160081" w:rsidRPr="00160081" w14:paraId="637DCCC5"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0CF7DE7" w14:textId="77777777" w:rsidR="00160081" w:rsidRPr="00160081" w:rsidRDefault="00160081" w:rsidP="00BD3D91">
            <w:pPr>
              <w:jc w:val="center"/>
              <w:rPr>
                <w:rFonts w:cstheme="minorHAnsi"/>
                <w:b/>
                <w:bCs/>
                <w:sz w:val="20"/>
                <w:szCs w:val="20"/>
              </w:rPr>
            </w:pPr>
            <w:r w:rsidRPr="00160081">
              <w:rPr>
                <w:rFonts w:cstheme="minorHAnsi"/>
                <w:b/>
                <w:bCs/>
                <w:sz w:val="20"/>
                <w:szCs w:val="20"/>
              </w:rPr>
              <w:t>2.1</w:t>
            </w:r>
          </w:p>
        </w:tc>
        <w:tc>
          <w:tcPr>
            <w:tcW w:w="7015" w:type="dxa"/>
            <w:tcBorders>
              <w:top w:val="nil"/>
              <w:left w:val="nil"/>
              <w:bottom w:val="single" w:sz="4" w:space="0" w:color="auto"/>
              <w:right w:val="single" w:sz="4" w:space="0" w:color="auto"/>
            </w:tcBorders>
            <w:vAlign w:val="center"/>
            <w:hideMark/>
          </w:tcPr>
          <w:p w14:paraId="031DBFA5" w14:textId="77777777" w:rsidR="00160081" w:rsidRPr="00160081" w:rsidRDefault="00160081" w:rsidP="00BD3D91">
            <w:pPr>
              <w:rPr>
                <w:rFonts w:cstheme="minorHAnsi"/>
                <w:sz w:val="20"/>
                <w:szCs w:val="20"/>
              </w:rPr>
            </w:pPr>
            <w:r w:rsidRPr="00160081">
              <w:rPr>
                <w:rFonts w:cstheme="minorHAnsi"/>
                <w:sz w:val="20"/>
                <w:szCs w:val="20"/>
              </w:rPr>
              <w:t xml:space="preserve">El BRMS deberá ofrecer capacidades de uso No-Code/Low-Code, permitiendo que los analistas de negocio gestionen reglas mediante interfaces gráficas, tablas de decisión o lenguajes declarativos, modificar y versionar reglas y decisiones sin requerir programación, manteniendo flujos de aprobación y auditoría. </w:t>
            </w:r>
          </w:p>
        </w:tc>
        <w:tc>
          <w:tcPr>
            <w:tcW w:w="0" w:type="auto"/>
            <w:tcBorders>
              <w:top w:val="nil"/>
              <w:left w:val="nil"/>
              <w:bottom w:val="single" w:sz="4" w:space="0" w:color="auto"/>
              <w:right w:val="single" w:sz="4" w:space="0" w:color="auto"/>
            </w:tcBorders>
            <w:vAlign w:val="center"/>
            <w:hideMark/>
          </w:tcPr>
          <w:p w14:paraId="274DBD50"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6C646B85"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03CBFF63"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C257A5B" w14:textId="77777777" w:rsidR="00160081" w:rsidRPr="00160081" w:rsidRDefault="00160081" w:rsidP="00BD3D91">
            <w:pPr>
              <w:jc w:val="center"/>
              <w:rPr>
                <w:rFonts w:cstheme="minorHAnsi"/>
                <w:b/>
                <w:bCs/>
                <w:sz w:val="20"/>
                <w:szCs w:val="20"/>
              </w:rPr>
            </w:pPr>
            <w:r w:rsidRPr="00160081">
              <w:rPr>
                <w:rFonts w:cstheme="minorHAnsi"/>
                <w:b/>
                <w:bCs/>
                <w:sz w:val="20"/>
                <w:szCs w:val="20"/>
              </w:rPr>
              <w:t>2.2</w:t>
            </w:r>
          </w:p>
        </w:tc>
        <w:tc>
          <w:tcPr>
            <w:tcW w:w="7015" w:type="dxa"/>
            <w:tcBorders>
              <w:top w:val="nil"/>
              <w:left w:val="nil"/>
              <w:bottom w:val="single" w:sz="4" w:space="0" w:color="auto"/>
              <w:right w:val="single" w:sz="4" w:space="0" w:color="auto"/>
            </w:tcBorders>
            <w:vAlign w:val="center"/>
            <w:hideMark/>
          </w:tcPr>
          <w:p w14:paraId="74D3D843" w14:textId="77777777" w:rsidR="00160081" w:rsidRPr="00160081" w:rsidRDefault="00160081" w:rsidP="00BD3D91">
            <w:pPr>
              <w:rPr>
                <w:rFonts w:cstheme="minorHAnsi"/>
                <w:sz w:val="20"/>
                <w:szCs w:val="20"/>
              </w:rPr>
            </w:pPr>
            <w:r w:rsidRPr="00160081">
              <w:rPr>
                <w:rFonts w:cstheme="minorHAnsi"/>
                <w:sz w:val="20"/>
                <w:szCs w:val="20"/>
              </w:rPr>
              <w:t>El BRMS deberá contar con un motor de ejecución de alto rendimiento, capaz de procesar reglas en tiempo real mediante servicios API o Web, y escalar horizontal o verticalmente según los volúmenes transaccionales del SRI.</w:t>
            </w:r>
          </w:p>
        </w:tc>
        <w:tc>
          <w:tcPr>
            <w:tcW w:w="0" w:type="auto"/>
            <w:tcBorders>
              <w:top w:val="nil"/>
              <w:left w:val="nil"/>
              <w:bottom w:val="single" w:sz="4" w:space="0" w:color="auto"/>
              <w:right w:val="single" w:sz="4" w:space="0" w:color="auto"/>
            </w:tcBorders>
            <w:vAlign w:val="center"/>
            <w:hideMark/>
          </w:tcPr>
          <w:p w14:paraId="7E1C6F0F"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23DD81DF"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0E9F2ADE"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4411355B" w14:textId="77777777" w:rsidR="00160081" w:rsidRPr="00160081" w:rsidRDefault="00160081" w:rsidP="00BD3D91">
            <w:pPr>
              <w:jc w:val="center"/>
              <w:rPr>
                <w:rFonts w:cstheme="minorHAnsi"/>
                <w:b/>
                <w:bCs/>
                <w:sz w:val="20"/>
                <w:szCs w:val="20"/>
              </w:rPr>
            </w:pPr>
            <w:r w:rsidRPr="00160081">
              <w:rPr>
                <w:rFonts w:cstheme="minorHAnsi"/>
                <w:b/>
                <w:bCs/>
                <w:sz w:val="20"/>
                <w:szCs w:val="20"/>
              </w:rPr>
              <w:t>2.3</w:t>
            </w:r>
          </w:p>
        </w:tc>
        <w:tc>
          <w:tcPr>
            <w:tcW w:w="7015" w:type="dxa"/>
            <w:tcBorders>
              <w:top w:val="nil"/>
              <w:left w:val="nil"/>
              <w:bottom w:val="single" w:sz="4" w:space="0" w:color="auto"/>
              <w:right w:val="single" w:sz="4" w:space="0" w:color="auto"/>
            </w:tcBorders>
            <w:vAlign w:val="center"/>
            <w:hideMark/>
          </w:tcPr>
          <w:p w14:paraId="6338CD55" w14:textId="77777777" w:rsidR="00160081" w:rsidRPr="00160081" w:rsidRDefault="00160081" w:rsidP="00BD3D91">
            <w:pPr>
              <w:rPr>
                <w:rFonts w:cstheme="minorHAnsi"/>
                <w:sz w:val="20"/>
                <w:szCs w:val="20"/>
              </w:rPr>
            </w:pPr>
            <w:r w:rsidRPr="00160081">
              <w:rPr>
                <w:rFonts w:cstheme="minorHAnsi"/>
                <w:sz w:val="20"/>
                <w:szCs w:val="20"/>
              </w:rPr>
              <w:t xml:space="preserve">El BRMS deberá permitir su integración con otros </w:t>
            </w:r>
            <w:proofErr w:type="spellStart"/>
            <w:r w:rsidRPr="00160081">
              <w:rPr>
                <w:rFonts w:cstheme="minorHAnsi"/>
                <w:sz w:val="20"/>
                <w:szCs w:val="20"/>
              </w:rPr>
              <w:t>BRMSs</w:t>
            </w:r>
            <w:proofErr w:type="spellEnd"/>
            <w:r w:rsidRPr="00160081">
              <w:rPr>
                <w:rFonts w:cstheme="minorHAnsi"/>
                <w:sz w:val="20"/>
                <w:szCs w:val="20"/>
              </w:rPr>
              <w:t xml:space="preserve"> mediante REST, SOAP, JMS y conectividad nativa con entornos Java y .NET, garantizando interoperabilidad con las plataformas institucionales existentes.</w:t>
            </w:r>
          </w:p>
        </w:tc>
        <w:tc>
          <w:tcPr>
            <w:tcW w:w="0" w:type="auto"/>
            <w:tcBorders>
              <w:top w:val="nil"/>
              <w:left w:val="nil"/>
              <w:bottom w:val="single" w:sz="4" w:space="0" w:color="auto"/>
              <w:right w:val="single" w:sz="4" w:space="0" w:color="auto"/>
            </w:tcBorders>
            <w:vAlign w:val="center"/>
            <w:hideMark/>
          </w:tcPr>
          <w:p w14:paraId="152A1797"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0AD7A9F1"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2EAB2C94"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0B3C2F7D" w14:textId="77777777" w:rsidR="00160081" w:rsidRPr="00160081" w:rsidRDefault="00160081" w:rsidP="00BD3D91">
            <w:pPr>
              <w:jc w:val="center"/>
              <w:rPr>
                <w:rFonts w:cstheme="minorHAnsi"/>
                <w:b/>
                <w:bCs/>
                <w:sz w:val="20"/>
                <w:szCs w:val="20"/>
              </w:rPr>
            </w:pPr>
            <w:r w:rsidRPr="00160081">
              <w:rPr>
                <w:rFonts w:cstheme="minorHAnsi"/>
                <w:b/>
                <w:bCs/>
                <w:sz w:val="20"/>
                <w:szCs w:val="20"/>
              </w:rPr>
              <w:t>2.4</w:t>
            </w:r>
          </w:p>
        </w:tc>
        <w:tc>
          <w:tcPr>
            <w:tcW w:w="7015" w:type="dxa"/>
            <w:tcBorders>
              <w:top w:val="nil"/>
              <w:left w:val="nil"/>
              <w:bottom w:val="single" w:sz="4" w:space="0" w:color="auto"/>
              <w:right w:val="single" w:sz="4" w:space="0" w:color="auto"/>
            </w:tcBorders>
            <w:vAlign w:val="center"/>
            <w:hideMark/>
          </w:tcPr>
          <w:p w14:paraId="1EF681AA" w14:textId="77777777" w:rsidR="00160081" w:rsidRPr="00160081" w:rsidRDefault="00160081" w:rsidP="00BD3D91">
            <w:pPr>
              <w:rPr>
                <w:rFonts w:cstheme="minorHAnsi"/>
                <w:sz w:val="20"/>
                <w:szCs w:val="20"/>
              </w:rPr>
            </w:pPr>
            <w:r w:rsidRPr="00160081">
              <w:rPr>
                <w:rFonts w:cstheme="minorHAnsi"/>
                <w:sz w:val="20"/>
                <w:szCs w:val="20"/>
              </w:rPr>
              <w:t>El BRMS deberá soportar la construcción de modelos de decisión utilizando tablas de decisión, árboles de decisión y lenguajes de reglas, permitiendo representar lógicas normativas y operativas de forma estructurada y auditable.</w:t>
            </w:r>
          </w:p>
        </w:tc>
        <w:tc>
          <w:tcPr>
            <w:tcW w:w="0" w:type="auto"/>
            <w:tcBorders>
              <w:top w:val="nil"/>
              <w:left w:val="nil"/>
              <w:bottom w:val="single" w:sz="4" w:space="0" w:color="auto"/>
              <w:right w:val="single" w:sz="4" w:space="0" w:color="auto"/>
            </w:tcBorders>
            <w:vAlign w:val="center"/>
            <w:hideMark/>
          </w:tcPr>
          <w:p w14:paraId="71D91386"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2FCEE16F"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3F941A71"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77D9E7A7" w14:textId="77777777" w:rsidR="00160081" w:rsidRPr="00160081" w:rsidRDefault="00160081" w:rsidP="00BD3D91">
            <w:pPr>
              <w:jc w:val="center"/>
              <w:rPr>
                <w:rFonts w:cstheme="minorHAnsi"/>
                <w:b/>
                <w:bCs/>
                <w:sz w:val="20"/>
                <w:szCs w:val="20"/>
              </w:rPr>
            </w:pPr>
            <w:r w:rsidRPr="00160081">
              <w:rPr>
                <w:rFonts w:cstheme="minorHAnsi"/>
                <w:b/>
                <w:bCs/>
                <w:sz w:val="20"/>
                <w:szCs w:val="20"/>
              </w:rPr>
              <w:t>2.5</w:t>
            </w:r>
          </w:p>
        </w:tc>
        <w:tc>
          <w:tcPr>
            <w:tcW w:w="7015" w:type="dxa"/>
            <w:tcBorders>
              <w:top w:val="nil"/>
              <w:left w:val="nil"/>
              <w:bottom w:val="single" w:sz="4" w:space="0" w:color="auto"/>
              <w:right w:val="single" w:sz="4" w:space="0" w:color="auto"/>
            </w:tcBorders>
            <w:vAlign w:val="center"/>
            <w:hideMark/>
          </w:tcPr>
          <w:p w14:paraId="7D98F337" w14:textId="77777777" w:rsidR="00160081" w:rsidRPr="00160081" w:rsidRDefault="00160081" w:rsidP="00BD3D91">
            <w:pPr>
              <w:rPr>
                <w:rFonts w:cstheme="minorHAnsi"/>
                <w:sz w:val="20"/>
                <w:szCs w:val="20"/>
              </w:rPr>
            </w:pPr>
            <w:r w:rsidRPr="00160081">
              <w:rPr>
                <w:rFonts w:cstheme="minorHAnsi"/>
                <w:sz w:val="20"/>
                <w:szCs w:val="20"/>
              </w:rPr>
              <w:t xml:space="preserve">El BRMS deberá permitir la integración de modelos analíticos y/o de Machine </w:t>
            </w:r>
            <w:proofErr w:type="spellStart"/>
            <w:r w:rsidRPr="00160081">
              <w:rPr>
                <w:rFonts w:cstheme="minorHAnsi"/>
                <w:sz w:val="20"/>
                <w:szCs w:val="20"/>
              </w:rPr>
              <w:t>Learning</w:t>
            </w:r>
            <w:proofErr w:type="spellEnd"/>
            <w:r w:rsidRPr="00160081">
              <w:rPr>
                <w:rFonts w:cstheme="minorHAnsi"/>
                <w:sz w:val="20"/>
                <w:szCs w:val="20"/>
              </w:rPr>
              <w:t>, soportando formatos estándar como PMML u ONNX, o integración nativa con motores analíticos institucionales, para fortalecer la capacidad de decisión automatizada, manteniendo la trazabilidad entre regla, modelo y resultado</w:t>
            </w:r>
          </w:p>
        </w:tc>
        <w:tc>
          <w:tcPr>
            <w:tcW w:w="0" w:type="auto"/>
            <w:tcBorders>
              <w:top w:val="nil"/>
              <w:left w:val="nil"/>
              <w:bottom w:val="single" w:sz="4" w:space="0" w:color="auto"/>
              <w:right w:val="single" w:sz="4" w:space="0" w:color="auto"/>
            </w:tcBorders>
            <w:vAlign w:val="center"/>
            <w:hideMark/>
          </w:tcPr>
          <w:p w14:paraId="6FB7876E"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6ED369F0"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5A89B988"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FC73D70" w14:textId="77777777" w:rsidR="00160081" w:rsidRPr="00160081" w:rsidRDefault="00160081" w:rsidP="00BD3D91">
            <w:pPr>
              <w:jc w:val="center"/>
              <w:rPr>
                <w:rFonts w:cstheme="minorHAnsi"/>
                <w:b/>
                <w:bCs/>
                <w:sz w:val="20"/>
                <w:szCs w:val="20"/>
              </w:rPr>
            </w:pPr>
            <w:r w:rsidRPr="00160081">
              <w:rPr>
                <w:rFonts w:cstheme="minorHAnsi"/>
                <w:b/>
                <w:bCs/>
                <w:sz w:val="20"/>
                <w:szCs w:val="20"/>
              </w:rPr>
              <w:t>2.6</w:t>
            </w:r>
          </w:p>
        </w:tc>
        <w:tc>
          <w:tcPr>
            <w:tcW w:w="7015" w:type="dxa"/>
            <w:tcBorders>
              <w:top w:val="nil"/>
              <w:left w:val="nil"/>
              <w:bottom w:val="single" w:sz="4" w:space="0" w:color="auto"/>
              <w:right w:val="single" w:sz="4" w:space="0" w:color="auto"/>
            </w:tcBorders>
            <w:vAlign w:val="center"/>
            <w:hideMark/>
          </w:tcPr>
          <w:p w14:paraId="098CCA1B" w14:textId="77777777" w:rsidR="00160081" w:rsidRPr="00160081" w:rsidRDefault="00160081" w:rsidP="00BD3D91">
            <w:pPr>
              <w:rPr>
                <w:rFonts w:cstheme="minorHAnsi"/>
                <w:sz w:val="20"/>
                <w:szCs w:val="20"/>
              </w:rPr>
            </w:pPr>
            <w:r w:rsidRPr="00160081">
              <w:rPr>
                <w:rFonts w:cstheme="minorHAnsi"/>
                <w:sz w:val="20"/>
                <w:szCs w:val="20"/>
              </w:rPr>
              <w:t>El BRMS deberá permitir múltiples versiones de reglas en paralelo con activación por fecha, por proceso o por instancia, sin afectar reglas vigentes.</w:t>
            </w:r>
          </w:p>
        </w:tc>
        <w:tc>
          <w:tcPr>
            <w:tcW w:w="0" w:type="auto"/>
            <w:tcBorders>
              <w:top w:val="nil"/>
              <w:left w:val="nil"/>
              <w:bottom w:val="single" w:sz="4" w:space="0" w:color="auto"/>
              <w:right w:val="single" w:sz="4" w:space="0" w:color="auto"/>
            </w:tcBorders>
            <w:vAlign w:val="center"/>
            <w:hideMark/>
          </w:tcPr>
          <w:p w14:paraId="79322E2B"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152228F3"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066D8DE0"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709F8CA4" w14:textId="77777777" w:rsidR="00160081" w:rsidRPr="00160081" w:rsidRDefault="00160081" w:rsidP="00BD3D91">
            <w:pPr>
              <w:jc w:val="center"/>
              <w:rPr>
                <w:rFonts w:cstheme="minorHAnsi"/>
                <w:b/>
                <w:bCs/>
                <w:sz w:val="20"/>
                <w:szCs w:val="20"/>
              </w:rPr>
            </w:pPr>
            <w:r w:rsidRPr="00160081">
              <w:rPr>
                <w:rFonts w:cstheme="minorHAnsi"/>
                <w:b/>
                <w:bCs/>
                <w:sz w:val="20"/>
                <w:szCs w:val="20"/>
              </w:rPr>
              <w:t>2.7</w:t>
            </w:r>
          </w:p>
        </w:tc>
        <w:tc>
          <w:tcPr>
            <w:tcW w:w="7015" w:type="dxa"/>
            <w:tcBorders>
              <w:top w:val="nil"/>
              <w:left w:val="nil"/>
              <w:bottom w:val="single" w:sz="4" w:space="0" w:color="auto"/>
              <w:right w:val="single" w:sz="4" w:space="0" w:color="auto"/>
            </w:tcBorders>
            <w:vAlign w:val="center"/>
            <w:hideMark/>
          </w:tcPr>
          <w:p w14:paraId="33E3618C" w14:textId="77777777" w:rsidR="00160081" w:rsidRPr="00160081" w:rsidRDefault="00160081" w:rsidP="00BD3D91">
            <w:pPr>
              <w:rPr>
                <w:rFonts w:cstheme="minorHAnsi"/>
                <w:sz w:val="20"/>
                <w:szCs w:val="20"/>
              </w:rPr>
            </w:pPr>
            <w:r w:rsidRPr="00160081">
              <w:rPr>
                <w:rFonts w:cstheme="minorHAnsi"/>
                <w:sz w:val="20"/>
                <w:szCs w:val="20"/>
              </w:rPr>
              <w:t>El BRMS deberá exponer reglas como servicios ejecutables vía REST/JSON o mensajería, con latencias consistentes y registro de la versión utilizada en cada invocación.</w:t>
            </w:r>
          </w:p>
        </w:tc>
        <w:tc>
          <w:tcPr>
            <w:tcW w:w="0" w:type="auto"/>
            <w:tcBorders>
              <w:top w:val="nil"/>
              <w:left w:val="nil"/>
              <w:bottom w:val="single" w:sz="4" w:space="0" w:color="auto"/>
              <w:right w:val="single" w:sz="4" w:space="0" w:color="auto"/>
            </w:tcBorders>
            <w:vAlign w:val="center"/>
            <w:hideMark/>
          </w:tcPr>
          <w:p w14:paraId="3521F5F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72E6418C" w14:textId="77777777" w:rsidR="00160081" w:rsidRPr="00160081" w:rsidRDefault="00160081" w:rsidP="00BD3D91">
            <w:pPr>
              <w:rPr>
                <w:rFonts w:cstheme="minorHAnsi"/>
                <w:sz w:val="20"/>
                <w:szCs w:val="20"/>
              </w:rPr>
            </w:pPr>
            <w:r w:rsidRPr="00160081">
              <w:rPr>
                <w:rFonts w:cstheme="minorHAnsi"/>
                <w:sz w:val="20"/>
                <w:szCs w:val="20"/>
              </w:rPr>
              <w:t> </w:t>
            </w:r>
          </w:p>
        </w:tc>
      </w:tr>
      <w:tr w:rsidR="00160081" w:rsidRPr="00160081" w14:paraId="47ADA7C8"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3E88126" w14:textId="77777777" w:rsidR="00160081" w:rsidRPr="00160081" w:rsidRDefault="00160081" w:rsidP="00BD3D91">
            <w:pPr>
              <w:jc w:val="center"/>
              <w:rPr>
                <w:rFonts w:cstheme="minorHAnsi"/>
                <w:b/>
                <w:bCs/>
                <w:sz w:val="20"/>
                <w:szCs w:val="20"/>
              </w:rPr>
            </w:pPr>
            <w:r w:rsidRPr="00160081">
              <w:rPr>
                <w:rFonts w:cstheme="minorHAnsi"/>
                <w:b/>
                <w:bCs/>
                <w:sz w:val="20"/>
                <w:szCs w:val="20"/>
              </w:rPr>
              <w:t>2.8</w:t>
            </w:r>
          </w:p>
        </w:tc>
        <w:tc>
          <w:tcPr>
            <w:tcW w:w="7015" w:type="dxa"/>
            <w:tcBorders>
              <w:top w:val="nil"/>
              <w:left w:val="nil"/>
              <w:bottom w:val="single" w:sz="4" w:space="0" w:color="auto"/>
              <w:right w:val="single" w:sz="4" w:space="0" w:color="auto"/>
            </w:tcBorders>
            <w:vAlign w:val="center"/>
            <w:hideMark/>
          </w:tcPr>
          <w:p w14:paraId="79AF602C" w14:textId="77777777" w:rsidR="00160081" w:rsidRPr="00160081" w:rsidRDefault="00160081" w:rsidP="00BD3D91">
            <w:pPr>
              <w:rPr>
                <w:rFonts w:cstheme="minorHAnsi"/>
                <w:sz w:val="20"/>
                <w:szCs w:val="20"/>
              </w:rPr>
            </w:pPr>
            <w:r w:rsidRPr="00160081">
              <w:rPr>
                <w:rFonts w:cstheme="minorHAnsi"/>
                <w:sz w:val="20"/>
                <w:szCs w:val="20"/>
              </w:rPr>
              <w:t>El BRMS deberá soportar modelamiento de reglas mediante DMN 1.3, tablas de decisión, funciones, expresiones y léxico empresarial, sin requerir código imperativo.</w:t>
            </w:r>
          </w:p>
        </w:tc>
        <w:tc>
          <w:tcPr>
            <w:tcW w:w="0" w:type="auto"/>
            <w:tcBorders>
              <w:top w:val="nil"/>
              <w:left w:val="nil"/>
              <w:bottom w:val="single" w:sz="4" w:space="0" w:color="auto"/>
              <w:right w:val="single" w:sz="4" w:space="0" w:color="auto"/>
            </w:tcBorders>
            <w:vAlign w:val="center"/>
            <w:hideMark/>
          </w:tcPr>
          <w:p w14:paraId="5809823A" w14:textId="77777777" w:rsidR="00160081" w:rsidRPr="00160081" w:rsidRDefault="00160081" w:rsidP="00BD3D91">
            <w:pPr>
              <w:jc w:val="center"/>
              <w:rPr>
                <w:rFonts w:cstheme="minorHAnsi"/>
                <w:sz w:val="20"/>
                <w:szCs w:val="20"/>
              </w:rPr>
            </w:pPr>
            <w:r w:rsidRPr="00160081">
              <w:rPr>
                <w:rFonts w:cstheme="minorHAnsi"/>
                <w:sz w:val="20"/>
                <w:szCs w:val="20"/>
              </w:rPr>
              <w:t>X</w:t>
            </w:r>
          </w:p>
        </w:tc>
        <w:tc>
          <w:tcPr>
            <w:tcW w:w="1618" w:type="dxa"/>
            <w:tcBorders>
              <w:top w:val="nil"/>
              <w:left w:val="nil"/>
              <w:bottom w:val="single" w:sz="4" w:space="0" w:color="auto"/>
              <w:right w:val="single" w:sz="4" w:space="0" w:color="auto"/>
            </w:tcBorders>
            <w:vAlign w:val="center"/>
            <w:hideMark/>
          </w:tcPr>
          <w:p w14:paraId="7FD5C9DA" w14:textId="77777777" w:rsidR="00160081" w:rsidRPr="00160081" w:rsidRDefault="00160081" w:rsidP="00BD3D91">
            <w:pPr>
              <w:rPr>
                <w:rFonts w:cstheme="minorHAnsi"/>
                <w:sz w:val="20"/>
                <w:szCs w:val="20"/>
              </w:rPr>
            </w:pPr>
            <w:r w:rsidRPr="00160081">
              <w:rPr>
                <w:rFonts w:cstheme="minorHAnsi"/>
                <w:sz w:val="20"/>
                <w:szCs w:val="20"/>
              </w:rPr>
              <w:t> </w:t>
            </w:r>
          </w:p>
        </w:tc>
      </w:tr>
    </w:tbl>
    <w:p w14:paraId="6C0A7999" w14:textId="77777777" w:rsidR="00160081" w:rsidRPr="00160081" w:rsidRDefault="00160081" w:rsidP="00160081">
      <w:pPr>
        <w:suppressAutoHyphens/>
        <w:ind w:left="720"/>
        <w:jc w:val="both"/>
        <w:rPr>
          <w:rFonts w:cstheme="minorHAnsi"/>
          <w:b/>
          <w:bCs/>
          <w:sz w:val="20"/>
          <w:szCs w:val="20"/>
        </w:rPr>
      </w:pPr>
    </w:p>
    <w:p w14:paraId="68E7C988" w14:textId="77777777" w:rsidR="00160081" w:rsidRPr="00160081" w:rsidRDefault="00160081" w:rsidP="00160081">
      <w:pPr>
        <w:suppressAutoHyphens/>
        <w:ind w:left="720"/>
        <w:jc w:val="both"/>
        <w:rPr>
          <w:rFonts w:cstheme="minorHAnsi"/>
          <w:b/>
          <w:bCs/>
          <w:sz w:val="20"/>
          <w:szCs w:val="20"/>
        </w:rPr>
      </w:pPr>
      <w:bookmarkStart w:id="55" w:name="OLE_LINK43"/>
      <w:r w:rsidRPr="00160081">
        <w:rPr>
          <w:rFonts w:cstheme="minorHAnsi"/>
          <w:b/>
          <w:bCs/>
          <w:sz w:val="20"/>
          <w:szCs w:val="20"/>
        </w:rPr>
        <w:t>6.1.3 Componente de Gestión documental – ECM</w:t>
      </w:r>
    </w:p>
    <w:tbl>
      <w:tblPr>
        <w:tblW w:w="10207" w:type="dxa"/>
        <w:tblInd w:w="-861" w:type="dxa"/>
        <w:tblCellMar>
          <w:left w:w="70" w:type="dxa"/>
          <w:right w:w="70" w:type="dxa"/>
        </w:tblCellMar>
        <w:tblLook w:val="04A0" w:firstRow="1" w:lastRow="0" w:firstColumn="1" w:lastColumn="0" w:noHBand="0" w:noVBand="1"/>
      </w:tblPr>
      <w:tblGrid>
        <w:gridCol w:w="495"/>
        <w:gridCol w:w="7019"/>
        <w:gridCol w:w="1134"/>
        <w:gridCol w:w="1559"/>
      </w:tblGrid>
      <w:tr w:rsidR="00160081" w:rsidRPr="00160081" w14:paraId="32D6205B" w14:textId="77777777" w:rsidTr="007A425E">
        <w:trPr>
          <w:trHeight w:val="300"/>
          <w:tblHeader/>
        </w:trPr>
        <w:tc>
          <w:tcPr>
            <w:tcW w:w="0" w:type="auto"/>
            <w:tcBorders>
              <w:top w:val="single" w:sz="8" w:space="0" w:color="auto"/>
              <w:left w:val="single" w:sz="8" w:space="0" w:color="auto"/>
              <w:bottom w:val="single" w:sz="8" w:space="0" w:color="auto"/>
              <w:right w:val="single" w:sz="4" w:space="0" w:color="auto"/>
            </w:tcBorders>
            <w:shd w:val="clear" w:color="000000" w:fill="E6E6E6"/>
            <w:vAlign w:val="center"/>
            <w:hideMark/>
          </w:tcPr>
          <w:bookmarkEnd w:id="55"/>
          <w:p w14:paraId="5C9F5C4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w:t>
            </w:r>
          </w:p>
        </w:tc>
        <w:tc>
          <w:tcPr>
            <w:tcW w:w="7019" w:type="dxa"/>
            <w:tcBorders>
              <w:top w:val="single" w:sz="8" w:space="0" w:color="auto"/>
              <w:left w:val="nil"/>
              <w:bottom w:val="single" w:sz="8" w:space="0" w:color="auto"/>
              <w:right w:val="single" w:sz="8" w:space="0" w:color="auto"/>
            </w:tcBorders>
            <w:shd w:val="clear" w:color="000000" w:fill="E6E6E6"/>
            <w:vAlign w:val="center"/>
            <w:hideMark/>
          </w:tcPr>
          <w:p w14:paraId="68A3F0F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REQUERIMIENTOS FUNCIONALES ECM</w:t>
            </w:r>
          </w:p>
        </w:tc>
        <w:tc>
          <w:tcPr>
            <w:tcW w:w="2693" w:type="dxa"/>
            <w:gridSpan w:val="2"/>
            <w:tcBorders>
              <w:top w:val="single" w:sz="8" w:space="0" w:color="auto"/>
              <w:left w:val="nil"/>
              <w:bottom w:val="single" w:sz="8" w:space="0" w:color="auto"/>
              <w:right w:val="single" w:sz="8" w:space="0" w:color="000000"/>
            </w:tcBorders>
            <w:shd w:val="clear" w:color="000000" w:fill="E6E6E6"/>
            <w:vAlign w:val="center"/>
            <w:hideMark/>
          </w:tcPr>
          <w:p w14:paraId="746070D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w:t>
            </w:r>
          </w:p>
        </w:tc>
      </w:tr>
      <w:tr w:rsidR="00160081" w:rsidRPr="00160081" w14:paraId="0A1C5F88" w14:textId="77777777" w:rsidTr="007A425E">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E6E6E6"/>
            <w:vAlign w:val="center"/>
            <w:hideMark/>
          </w:tcPr>
          <w:p w14:paraId="5BA40FB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w:t>
            </w:r>
          </w:p>
        </w:tc>
        <w:tc>
          <w:tcPr>
            <w:tcW w:w="7019" w:type="dxa"/>
            <w:tcBorders>
              <w:top w:val="single" w:sz="4" w:space="0" w:color="auto"/>
              <w:left w:val="nil"/>
              <w:bottom w:val="single" w:sz="4" w:space="0" w:color="auto"/>
              <w:right w:val="single" w:sz="4" w:space="0" w:color="auto"/>
            </w:tcBorders>
            <w:shd w:val="clear" w:color="000000" w:fill="E6E6E6"/>
            <w:vAlign w:val="center"/>
            <w:hideMark/>
          </w:tcPr>
          <w:p w14:paraId="3FFB8BF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Capacidades del componente – ECM</w:t>
            </w:r>
          </w:p>
        </w:tc>
        <w:tc>
          <w:tcPr>
            <w:tcW w:w="1134" w:type="dxa"/>
            <w:tcBorders>
              <w:top w:val="single" w:sz="4" w:space="0" w:color="auto"/>
              <w:left w:val="nil"/>
              <w:bottom w:val="single" w:sz="4" w:space="0" w:color="auto"/>
              <w:right w:val="single" w:sz="4" w:space="0" w:color="auto"/>
            </w:tcBorders>
            <w:shd w:val="clear" w:color="000000" w:fill="E6E6E6"/>
            <w:vAlign w:val="center"/>
            <w:hideMark/>
          </w:tcPr>
          <w:p w14:paraId="30363EB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single" w:sz="4" w:space="0" w:color="auto"/>
              <w:left w:val="nil"/>
              <w:bottom w:val="single" w:sz="4" w:space="0" w:color="auto"/>
              <w:right w:val="single" w:sz="4" w:space="0" w:color="auto"/>
            </w:tcBorders>
            <w:shd w:val="clear" w:color="000000" w:fill="E6E6E6"/>
            <w:vAlign w:val="center"/>
            <w:hideMark/>
          </w:tcPr>
          <w:p w14:paraId="2C10586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45F4D733" w14:textId="77777777" w:rsidTr="007A425E">
        <w:trPr>
          <w:trHeight w:val="278"/>
        </w:trPr>
        <w:tc>
          <w:tcPr>
            <w:tcW w:w="0" w:type="auto"/>
            <w:tcBorders>
              <w:top w:val="nil"/>
              <w:left w:val="single" w:sz="4" w:space="0" w:color="auto"/>
              <w:bottom w:val="single" w:sz="4" w:space="0" w:color="auto"/>
              <w:right w:val="single" w:sz="4" w:space="0" w:color="auto"/>
            </w:tcBorders>
            <w:vAlign w:val="center"/>
            <w:hideMark/>
          </w:tcPr>
          <w:p w14:paraId="7D899E6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w:t>
            </w:r>
          </w:p>
        </w:tc>
        <w:tc>
          <w:tcPr>
            <w:tcW w:w="7019" w:type="dxa"/>
            <w:tcBorders>
              <w:top w:val="nil"/>
              <w:left w:val="nil"/>
              <w:bottom w:val="single" w:sz="4" w:space="0" w:color="auto"/>
              <w:right w:val="single" w:sz="4" w:space="0" w:color="auto"/>
            </w:tcBorders>
            <w:vAlign w:val="center"/>
            <w:hideMark/>
          </w:tcPr>
          <w:p w14:paraId="238E9F86" w14:textId="77777777" w:rsidR="00160081" w:rsidRPr="00160081" w:rsidRDefault="00160081" w:rsidP="00BD3D91">
            <w:pPr>
              <w:rPr>
                <w:rFonts w:cstheme="minorHAnsi"/>
                <w:color w:val="242424"/>
                <w:sz w:val="20"/>
                <w:szCs w:val="20"/>
              </w:rPr>
            </w:pPr>
            <w:r w:rsidRPr="00160081">
              <w:rPr>
                <w:rFonts w:cstheme="minorHAnsi"/>
                <w:color w:val="242424"/>
                <w:sz w:val="20"/>
                <w:szCs w:val="20"/>
              </w:rPr>
              <w:t>Módulo de administración para crear y editar categorías y subcategorías de documentos</w:t>
            </w:r>
          </w:p>
        </w:tc>
        <w:tc>
          <w:tcPr>
            <w:tcW w:w="1134" w:type="dxa"/>
            <w:tcBorders>
              <w:top w:val="nil"/>
              <w:left w:val="nil"/>
              <w:bottom w:val="single" w:sz="4" w:space="0" w:color="auto"/>
              <w:right w:val="single" w:sz="4" w:space="0" w:color="auto"/>
            </w:tcBorders>
            <w:vAlign w:val="center"/>
            <w:hideMark/>
          </w:tcPr>
          <w:p w14:paraId="318AA3E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EBDE48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 </w:t>
            </w:r>
          </w:p>
        </w:tc>
      </w:tr>
      <w:tr w:rsidR="00160081" w:rsidRPr="00160081" w14:paraId="6973D84F"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5CF0964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w:t>
            </w:r>
          </w:p>
        </w:tc>
        <w:tc>
          <w:tcPr>
            <w:tcW w:w="7019" w:type="dxa"/>
            <w:tcBorders>
              <w:top w:val="nil"/>
              <w:left w:val="nil"/>
              <w:bottom w:val="single" w:sz="4" w:space="0" w:color="auto"/>
              <w:right w:val="single" w:sz="4" w:space="0" w:color="auto"/>
            </w:tcBorders>
            <w:vAlign w:val="center"/>
            <w:hideMark/>
          </w:tcPr>
          <w:p w14:paraId="14C2A220"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ECM deberá permitir definir y administrar taxonomías, esquemas de metadatos obligatorios y opcionales, con validaciones automáticas y control de versiones. (Cuadro de clasificación documental)</w:t>
            </w:r>
          </w:p>
        </w:tc>
        <w:tc>
          <w:tcPr>
            <w:tcW w:w="1134" w:type="dxa"/>
            <w:tcBorders>
              <w:top w:val="nil"/>
              <w:left w:val="nil"/>
              <w:bottom w:val="single" w:sz="4" w:space="0" w:color="auto"/>
              <w:right w:val="single" w:sz="4" w:space="0" w:color="auto"/>
            </w:tcBorders>
            <w:vAlign w:val="center"/>
            <w:hideMark/>
          </w:tcPr>
          <w:p w14:paraId="09D2682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7F2D21F"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37FF483C"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1C3E41D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1.3</w:t>
            </w:r>
          </w:p>
        </w:tc>
        <w:tc>
          <w:tcPr>
            <w:tcW w:w="7019" w:type="dxa"/>
            <w:tcBorders>
              <w:top w:val="nil"/>
              <w:left w:val="nil"/>
              <w:bottom w:val="single" w:sz="4" w:space="0" w:color="auto"/>
              <w:right w:val="single" w:sz="4" w:space="0" w:color="auto"/>
            </w:tcBorders>
            <w:vAlign w:val="center"/>
            <w:hideMark/>
          </w:tcPr>
          <w:p w14:paraId="1B719C18" w14:textId="77777777" w:rsidR="00160081" w:rsidRPr="00160081" w:rsidRDefault="00160081" w:rsidP="00BD3D91">
            <w:pPr>
              <w:rPr>
                <w:rFonts w:cstheme="minorHAnsi"/>
                <w:color w:val="242424"/>
                <w:sz w:val="20"/>
                <w:szCs w:val="20"/>
              </w:rPr>
            </w:pPr>
            <w:r w:rsidRPr="00160081">
              <w:rPr>
                <w:rFonts w:cstheme="minorHAnsi"/>
                <w:color w:val="242424"/>
                <w:sz w:val="20"/>
                <w:szCs w:val="20"/>
              </w:rPr>
              <w:t xml:space="preserve">Módulo de administración para recuperar carpetas eliminadas. </w:t>
            </w:r>
          </w:p>
        </w:tc>
        <w:tc>
          <w:tcPr>
            <w:tcW w:w="1134" w:type="dxa"/>
            <w:tcBorders>
              <w:top w:val="nil"/>
              <w:left w:val="nil"/>
              <w:bottom w:val="single" w:sz="4" w:space="0" w:color="auto"/>
              <w:right w:val="single" w:sz="4" w:space="0" w:color="auto"/>
            </w:tcBorders>
            <w:vAlign w:val="center"/>
            <w:hideMark/>
          </w:tcPr>
          <w:p w14:paraId="707E124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F8FBAD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8F88E90" w14:textId="77777777" w:rsidTr="007A425E">
        <w:trPr>
          <w:trHeight w:val="1440"/>
        </w:trPr>
        <w:tc>
          <w:tcPr>
            <w:tcW w:w="0" w:type="auto"/>
            <w:tcBorders>
              <w:top w:val="nil"/>
              <w:left w:val="single" w:sz="4" w:space="0" w:color="auto"/>
              <w:bottom w:val="single" w:sz="4" w:space="0" w:color="auto"/>
              <w:right w:val="single" w:sz="4" w:space="0" w:color="auto"/>
            </w:tcBorders>
            <w:vAlign w:val="center"/>
            <w:hideMark/>
          </w:tcPr>
          <w:p w14:paraId="5782EAE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1.4</w:t>
            </w:r>
          </w:p>
        </w:tc>
        <w:tc>
          <w:tcPr>
            <w:tcW w:w="7019" w:type="dxa"/>
            <w:tcBorders>
              <w:top w:val="nil"/>
              <w:left w:val="nil"/>
              <w:bottom w:val="single" w:sz="4" w:space="0" w:color="auto"/>
              <w:right w:val="single" w:sz="4" w:space="0" w:color="auto"/>
            </w:tcBorders>
            <w:vAlign w:val="center"/>
            <w:hideMark/>
          </w:tcPr>
          <w:p w14:paraId="5479A5B6" w14:textId="77777777" w:rsidR="00160081" w:rsidRPr="00160081" w:rsidRDefault="00160081" w:rsidP="00BD3D91">
            <w:pPr>
              <w:rPr>
                <w:rFonts w:cstheme="minorHAnsi"/>
                <w:sz w:val="20"/>
                <w:szCs w:val="20"/>
              </w:rPr>
            </w:pPr>
            <w:r w:rsidRPr="00160081">
              <w:rPr>
                <w:rFonts w:cstheme="minorHAnsi"/>
                <w:sz w:val="20"/>
                <w:szCs w:val="20"/>
              </w:rPr>
              <w:t>Módulo de administración que permita visualizar de manera detallada la información asociada a las carpetas documentales. Este módulo deberá mostrar:</w:t>
            </w:r>
            <w:r w:rsidRPr="00160081">
              <w:rPr>
                <w:rFonts w:cstheme="minorHAnsi"/>
                <w:sz w:val="20"/>
                <w:szCs w:val="20"/>
              </w:rPr>
              <w:br/>
              <w:t>La capacidad asignada a cada carpeta.</w:t>
            </w:r>
            <w:r w:rsidRPr="00160081">
              <w:rPr>
                <w:rFonts w:cstheme="minorHAnsi"/>
                <w:sz w:val="20"/>
                <w:szCs w:val="20"/>
              </w:rPr>
              <w:br/>
              <w:t>El número total de documentos contenidos en cada carpeta.</w:t>
            </w:r>
            <w:r w:rsidRPr="00160081">
              <w:rPr>
                <w:rFonts w:cstheme="minorHAnsi"/>
                <w:sz w:val="20"/>
                <w:szCs w:val="20"/>
              </w:rPr>
              <w:br/>
              <w:t>El peso o tamaño en almacenamiento que ocupa cada carpeta.</w:t>
            </w:r>
          </w:p>
        </w:tc>
        <w:tc>
          <w:tcPr>
            <w:tcW w:w="1134" w:type="dxa"/>
            <w:tcBorders>
              <w:top w:val="nil"/>
              <w:left w:val="nil"/>
              <w:bottom w:val="single" w:sz="4" w:space="0" w:color="auto"/>
              <w:right w:val="single" w:sz="4" w:space="0" w:color="auto"/>
            </w:tcBorders>
            <w:vAlign w:val="center"/>
            <w:hideMark/>
          </w:tcPr>
          <w:p w14:paraId="59D7072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939C99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54AAF93"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6281EDD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1.5</w:t>
            </w:r>
          </w:p>
        </w:tc>
        <w:tc>
          <w:tcPr>
            <w:tcW w:w="7019" w:type="dxa"/>
            <w:tcBorders>
              <w:top w:val="nil"/>
              <w:left w:val="nil"/>
              <w:bottom w:val="single" w:sz="4" w:space="0" w:color="auto"/>
              <w:right w:val="single" w:sz="4" w:space="0" w:color="auto"/>
            </w:tcBorders>
            <w:vAlign w:val="center"/>
            <w:hideMark/>
          </w:tcPr>
          <w:p w14:paraId="2D8D8461" w14:textId="77777777" w:rsidR="00160081" w:rsidRPr="00160081" w:rsidRDefault="00160081" w:rsidP="00BD3D91">
            <w:pPr>
              <w:rPr>
                <w:rFonts w:cstheme="minorHAnsi"/>
                <w:sz w:val="20"/>
                <w:szCs w:val="20"/>
              </w:rPr>
            </w:pPr>
            <w:r w:rsidRPr="00160081">
              <w:rPr>
                <w:rFonts w:cstheme="minorHAnsi"/>
                <w:sz w:val="20"/>
                <w:szCs w:val="20"/>
              </w:rPr>
              <w:t>Permitir a los usuarios visualizar el peso o tamaño de las carpetas</w:t>
            </w:r>
          </w:p>
        </w:tc>
        <w:tc>
          <w:tcPr>
            <w:tcW w:w="1134" w:type="dxa"/>
            <w:tcBorders>
              <w:top w:val="nil"/>
              <w:left w:val="nil"/>
              <w:bottom w:val="single" w:sz="4" w:space="0" w:color="auto"/>
              <w:right w:val="single" w:sz="4" w:space="0" w:color="auto"/>
            </w:tcBorders>
            <w:vAlign w:val="center"/>
            <w:hideMark/>
          </w:tcPr>
          <w:p w14:paraId="291C57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F456BF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468E7F1"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7D3E8E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1.6</w:t>
            </w:r>
          </w:p>
        </w:tc>
        <w:tc>
          <w:tcPr>
            <w:tcW w:w="7019" w:type="dxa"/>
            <w:tcBorders>
              <w:top w:val="nil"/>
              <w:left w:val="nil"/>
              <w:bottom w:val="single" w:sz="4" w:space="0" w:color="auto"/>
              <w:right w:val="single" w:sz="4" w:space="0" w:color="auto"/>
            </w:tcBorders>
            <w:vAlign w:val="center"/>
            <w:hideMark/>
          </w:tcPr>
          <w:p w14:paraId="64007206" w14:textId="77777777" w:rsidR="00160081" w:rsidRPr="00160081" w:rsidRDefault="00160081" w:rsidP="00BD3D91">
            <w:pPr>
              <w:rPr>
                <w:rFonts w:cstheme="minorHAnsi"/>
                <w:sz w:val="20"/>
                <w:szCs w:val="20"/>
              </w:rPr>
            </w:pPr>
            <w:r w:rsidRPr="00160081">
              <w:rPr>
                <w:rFonts w:cstheme="minorHAnsi"/>
                <w:sz w:val="20"/>
                <w:szCs w:val="20"/>
              </w:rPr>
              <w:t>Módulo de parametrizar documentos a las series documentales</w:t>
            </w:r>
          </w:p>
        </w:tc>
        <w:tc>
          <w:tcPr>
            <w:tcW w:w="1134" w:type="dxa"/>
            <w:tcBorders>
              <w:top w:val="nil"/>
              <w:left w:val="nil"/>
              <w:bottom w:val="single" w:sz="4" w:space="0" w:color="auto"/>
              <w:right w:val="single" w:sz="4" w:space="0" w:color="auto"/>
            </w:tcBorders>
            <w:vAlign w:val="center"/>
            <w:hideMark/>
          </w:tcPr>
          <w:p w14:paraId="0023429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3BEA91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B014071"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6796C69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1.7</w:t>
            </w:r>
          </w:p>
        </w:tc>
        <w:tc>
          <w:tcPr>
            <w:tcW w:w="7019" w:type="dxa"/>
            <w:tcBorders>
              <w:top w:val="nil"/>
              <w:left w:val="nil"/>
              <w:bottom w:val="single" w:sz="4" w:space="0" w:color="auto"/>
              <w:right w:val="single" w:sz="4" w:space="0" w:color="auto"/>
            </w:tcBorders>
            <w:vAlign w:val="center"/>
            <w:hideMark/>
          </w:tcPr>
          <w:p w14:paraId="1E4D77FB" w14:textId="77777777" w:rsidR="00160081" w:rsidRPr="00160081" w:rsidRDefault="00160081" w:rsidP="00BD3D91">
            <w:pPr>
              <w:rPr>
                <w:rFonts w:cstheme="minorHAnsi"/>
                <w:sz w:val="20"/>
                <w:szCs w:val="20"/>
              </w:rPr>
            </w:pPr>
            <w:r w:rsidRPr="00160081">
              <w:rPr>
                <w:rFonts w:cstheme="minorHAnsi"/>
                <w:sz w:val="20"/>
                <w:szCs w:val="20"/>
              </w:rPr>
              <w:t>Estructuración jerárquica de documentos en el gestor (carpetas, subcarpetas, etiquetas)</w:t>
            </w:r>
          </w:p>
        </w:tc>
        <w:tc>
          <w:tcPr>
            <w:tcW w:w="1134" w:type="dxa"/>
            <w:tcBorders>
              <w:top w:val="nil"/>
              <w:left w:val="nil"/>
              <w:bottom w:val="single" w:sz="4" w:space="0" w:color="auto"/>
              <w:right w:val="single" w:sz="4" w:space="0" w:color="auto"/>
            </w:tcBorders>
            <w:vAlign w:val="center"/>
            <w:hideMark/>
          </w:tcPr>
          <w:p w14:paraId="1D00ABF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DD18C5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AF8EB21"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6A12054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1.8</w:t>
            </w:r>
          </w:p>
        </w:tc>
        <w:tc>
          <w:tcPr>
            <w:tcW w:w="7019" w:type="dxa"/>
            <w:tcBorders>
              <w:top w:val="nil"/>
              <w:left w:val="nil"/>
              <w:bottom w:val="single" w:sz="4" w:space="0" w:color="auto"/>
              <w:right w:val="single" w:sz="4" w:space="0" w:color="auto"/>
            </w:tcBorders>
            <w:vAlign w:val="center"/>
            <w:hideMark/>
          </w:tcPr>
          <w:p w14:paraId="5061EAB5" w14:textId="77777777" w:rsidR="00160081" w:rsidRPr="00160081" w:rsidRDefault="00160081" w:rsidP="00BD3D91">
            <w:pPr>
              <w:rPr>
                <w:rFonts w:cstheme="minorHAnsi"/>
                <w:sz w:val="20"/>
                <w:szCs w:val="20"/>
              </w:rPr>
            </w:pPr>
            <w:r w:rsidRPr="00160081">
              <w:rPr>
                <w:rFonts w:cstheme="minorHAnsi"/>
                <w:sz w:val="20"/>
                <w:szCs w:val="20"/>
              </w:rPr>
              <w:t>El ECM deberá permitir configuración de reglas de retención, transferencias primarias/secundarias, eliminación segura y trazabilidad documental conforme normativa ecuatoriana.</w:t>
            </w:r>
          </w:p>
        </w:tc>
        <w:tc>
          <w:tcPr>
            <w:tcW w:w="1134" w:type="dxa"/>
            <w:tcBorders>
              <w:top w:val="nil"/>
              <w:left w:val="nil"/>
              <w:bottom w:val="single" w:sz="4" w:space="0" w:color="auto"/>
              <w:right w:val="single" w:sz="4" w:space="0" w:color="auto"/>
            </w:tcBorders>
            <w:vAlign w:val="center"/>
            <w:hideMark/>
          </w:tcPr>
          <w:p w14:paraId="577601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5167E52"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45C9B52F"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2A61149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1.9</w:t>
            </w:r>
          </w:p>
        </w:tc>
        <w:tc>
          <w:tcPr>
            <w:tcW w:w="7019" w:type="dxa"/>
            <w:tcBorders>
              <w:top w:val="nil"/>
              <w:left w:val="nil"/>
              <w:bottom w:val="single" w:sz="4" w:space="0" w:color="auto"/>
              <w:right w:val="single" w:sz="4" w:space="0" w:color="auto"/>
            </w:tcBorders>
            <w:vAlign w:val="center"/>
            <w:hideMark/>
          </w:tcPr>
          <w:p w14:paraId="695F1F18" w14:textId="77777777" w:rsidR="00160081" w:rsidRPr="00160081" w:rsidRDefault="00160081" w:rsidP="00BD3D91">
            <w:pPr>
              <w:rPr>
                <w:rFonts w:cstheme="minorHAnsi"/>
                <w:sz w:val="20"/>
                <w:szCs w:val="20"/>
              </w:rPr>
            </w:pPr>
            <w:r w:rsidRPr="00160081">
              <w:rPr>
                <w:rFonts w:cstheme="minorHAnsi"/>
                <w:sz w:val="20"/>
                <w:szCs w:val="20"/>
              </w:rPr>
              <w:t>El ECM podrá incluir un asistente digital basado en IA para búsqueda semántica, resumen y consulta inteligente de documentos, sin comprometer la seguridad ni la confidencialidad de la información.</w:t>
            </w:r>
          </w:p>
        </w:tc>
        <w:tc>
          <w:tcPr>
            <w:tcW w:w="1134" w:type="dxa"/>
            <w:tcBorders>
              <w:top w:val="nil"/>
              <w:left w:val="nil"/>
              <w:bottom w:val="single" w:sz="4" w:space="0" w:color="auto"/>
              <w:right w:val="single" w:sz="4" w:space="0" w:color="auto"/>
            </w:tcBorders>
            <w:noWrap/>
            <w:vAlign w:val="bottom"/>
            <w:hideMark/>
          </w:tcPr>
          <w:p w14:paraId="0138D7CE"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c>
          <w:tcPr>
            <w:tcW w:w="1559" w:type="dxa"/>
            <w:tcBorders>
              <w:top w:val="nil"/>
              <w:left w:val="nil"/>
              <w:bottom w:val="single" w:sz="4" w:space="0" w:color="auto"/>
              <w:right w:val="single" w:sz="4" w:space="0" w:color="auto"/>
            </w:tcBorders>
            <w:vAlign w:val="center"/>
            <w:hideMark/>
          </w:tcPr>
          <w:p w14:paraId="7CBBA58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1DDB73D3"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6638B79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1.10</w:t>
            </w:r>
          </w:p>
        </w:tc>
        <w:tc>
          <w:tcPr>
            <w:tcW w:w="7019" w:type="dxa"/>
            <w:tcBorders>
              <w:top w:val="nil"/>
              <w:left w:val="nil"/>
              <w:bottom w:val="single" w:sz="4" w:space="0" w:color="auto"/>
              <w:right w:val="single" w:sz="4" w:space="0" w:color="auto"/>
            </w:tcBorders>
            <w:vAlign w:val="center"/>
            <w:hideMark/>
          </w:tcPr>
          <w:p w14:paraId="28E83529" w14:textId="77777777" w:rsidR="00160081" w:rsidRPr="00160081" w:rsidRDefault="00160081" w:rsidP="00BD3D91">
            <w:pPr>
              <w:rPr>
                <w:rFonts w:cstheme="minorHAnsi"/>
                <w:sz w:val="20"/>
                <w:szCs w:val="20"/>
              </w:rPr>
            </w:pPr>
            <w:r w:rsidRPr="00160081">
              <w:rPr>
                <w:rFonts w:cstheme="minorHAnsi"/>
                <w:sz w:val="20"/>
                <w:szCs w:val="20"/>
              </w:rPr>
              <w:t>Soporte para múltiples formatos de documentos (PDF, Word, imágenes, etc.)</w:t>
            </w:r>
          </w:p>
        </w:tc>
        <w:tc>
          <w:tcPr>
            <w:tcW w:w="1134" w:type="dxa"/>
            <w:tcBorders>
              <w:top w:val="nil"/>
              <w:left w:val="nil"/>
              <w:bottom w:val="single" w:sz="4" w:space="0" w:color="auto"/>
              <w:right w:val="single" w:sz="4" w:space="0" w:color="auto"/>
            </w:tcBorders>
            <w:vAlign w:val="center"/>
            <w:hideMark/>
          </w:tcPr>
          <w:p w14:paraId="6F4C31C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91F39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378C821"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06F7149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1.11</w:t>
            </w:r>
          </w:p>
        </w:tc>
        <w:tc>
          <w:tcPr>
            <w:tcW w:w="7019" w:type="dxa"/>
            <w:tcBorders>
              <w:top w:val="nil"/>
              <w:left w:val="nil"/>
              <w:bottom w:val="single" w:sz="4" w:space="0" w:color="auto"/>
              <w:right w:val="single" w:sz="4" w:space="0" w:color="auto"/>
            </w:tcBorders>
            <w:vAlign w:val="center"/>
            <w:hideMark/>
          </w:tcPr>
          <w:p w14:paraId="4FDC808C" w14:textId="77777777" w:rsidR="00160081" w:rsidRPr="00160081" w:rsidRDefault="00160081" w:rsidP="00BD3D91">
            <w:pPr>
              <w:rPr>
                <w:rFonts w:cstheme="minorHAnsi"/>
                <w:sz w:val="20"/>
                <w:szCs w:val="20"/>
              </w:rPr>
            </w:pPr>
            <w:r w:rsidRPr="00160081">
              <w:rPr>
                <w:rFonts w:cstheme="minorHAnsi"/>
                <w:sz w:val="20"/>
                <w:szCs w:val="20"/>
              </w:rPr>
              <w:t>Búsqueda avanzada y específica de documentos por palabras clave, fechas, frases, etc.</w:t>
            </w:r>
          </w:p>
        </w:tc>
        <w:tc>
          <w:tcPr>
            <w:tcW w:w="1134" w:type="dxa"/>
            <w:tcBorders>
              <w:top w:val="nil"/>
              <w:left w:val="nil"/>
              <w:bottom w:val="single" w:sz="4" w:space="0" w:color="auto"/>
              <w:right w:val="single" w:sz="4" w:space="0" w:color="auto"/>
            </w:tcBorders>
            <w:vAlign w:val="center"/>
            <w:hideMark/>
          </w:tcPr>
          <w:p w14:paraId="593C697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7DA664D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550E1A0"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7BA2836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1.12</w:t>
            </w:r>
          </w:p>
        </w:tc>
        <w:tc>
          <w:tcPr>
            <w:tcW w:w="7019" w:type="dxa"/>
            <w:tcBorders>
              <w:top w:val="nil"/>
              <w:left w:val="nil"/>
              <w:bottom w:val="single" w:sz="4" w:space="0" w:color="auto"/>
              <w:right w:val="single" w:sz="4" w:space="0" w:color="auto"/>
            </w:tcBorders>
            <w:vAlign w:val="center"/>
            <w:hideMark/>
          </w:tcPr>
          <w:p w14:paraId="249842DD" w14:textId="77777777" w:rsidR="00160081" w:rsidRPr="00160081" w:rsidRDefault="00160081" w:rsidP="00BD3D91">
            <w:pPr>
              <w:rPr>
                <w:rFonts w:cstheme="minorHAnsi"/>
                <w:sz w:val="20"/>
                <w:szCs w:val="20"/>
              </w:rPr>
            </w:pPr>
            <w:r w:rsidRPr="00160081">
              <w:rPr>
                <w:rFonts w:cstheme="minorHAnsi"/>
                <w:sz w:val="20"/>
                <w:szCs w:val="20"/>
              </w:rPr>
              <w:t>Asignación de permisos para visualizar documentos (Flujo de servicio documental)</w:t>
            </w:r>
          </w:p>
        </w:tc>
        <w:tc>
          <w:tcPr>
            <w:tcW w:w="1134" w:type="dxa"/>
            <w:tcBorders>
              <w:top w:val="nil"/>
              <w:left w:val="nil"/>
              <w:bottom w:val="single" w:sz="4" w:space="0" w:color="auto"/>
              <w:right w:val="single" w:sz="4" w:space="0" w:color="auto"/>
            </w:tcBorders>
            <w:vAlign w:val="center"/>
            <w:hideMark/>
          </w:tcPr>
          <w:p w14:paraId="0049EB8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EDD92A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CF6FFB9"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0AEC72C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1.13</w:t>
            </w:r>
          </w:p>
        </w:tc>
        <w:tc>
          <w:tcPr>
            <w:tcW w:w="7019" w:type="dxa"/>
            <w:tcBorders>
              <w:top w:val="nil"/>
              <w:left w:val="nil"/>
              <w:bottom w:val="single" w:sz="4" w:space="0" w:color="auto"/>
              <w:right w:val="single" w:sz="4" w:space="0" w:color="auto"/>
            </w:tcBorders>
            <w:vAlign w:val="center"/>
            <w:hideMark/>
          </w:tcPr>
          <w:p w14:paraId="2BFBB986" w14:textId="77777777" w:rsidR="00160081" w:rsidRPr="00160081" w:rsidRDefault="00160081" w:rsidP="00BD3D91">
            <w:pPr>
              <w:rPr>
                <w:rFonts w:cstheme="minorHAnsi"/>
                <w:sz w:val="20"/>
                <w:szCs w:val="20"/>
              </w:rPr>
            </w:pPr>
            <w:r w:rsidRPr="00160081">
              <w:rPr>
                <w:rFonts w:cstheme="minorHAnsi"/>
                <w:sz w:val="20"/>
                <w:szCs w:val="20"/>
              </w:rPr>
              <w:t>Notificaciones automáticas para el flujo de trabajo (aprobación, firma, fechas de vencimiento, etc.)</w:t>
            </w:r>
          </w:p>
        </w:tc>
        <w:tc>
          <w:tcPr>
            <w:tcW w:w="1134" w:type="dxa"/>
            <w:tcBorders>
              <w:top w:val="nil"/>
              <w:left w:val="nil"/>
              <w:bottom w:val="single" w:sz="4" w:space="0" w:color="auto"/>
              <w:right w:val="single" w:sz="4" w:space="0" w:color="auto"/>
            </w:tcBorders>
            <w:vAlign w:val="center"/>
            <w:hideMark/>
          </w:tcPr>
          <w:p w14:paraId="730907D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C7FC6B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03A8E7D"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7ABD1A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1.14</w:t>
            </w:r>
          </w:p>
        </w:tc>
        <w:tc>
          <w:tcPr>
            <w:tcW w:w="7019" w:type="dxa"/>
            <w:tcBorders>
              <w:top w:val="nil"/>
              <w:left w:val="nil"/>
              <w:bottom w:val="single" w:sz="4" w:space="0" w:color="auto"/>
              <w:right w:val="single" w:sz="4" w:space="0" w:color="auto"/>
            </w:tcBorders>
            <w:vAlign w:val="center"/>
            <w:hideMark/>
          </w:tcPr>
          <w:p w14:paraId="43A4CC03" w14:textId="77777777" w:rsidR="00160081" w:rsidRPr="00160081" w:rsidRDefault="00160081" w:rsidP="00BD3D91">
            <w:pPr>
              <w:rPr>
                <w:rFonts w:cstheme="minorHAnsi"/>
                <w:sz w:val="20"/>
                <w:szCs w:val="20"/>
              </w:rPr>
            </w:pPr>
            <w:r w:rsidRPr="00160081">
              <w:rPr>
                <w:rFonts w:cstheme="minorHAnsi"/>
                <w:sz w:val="20"/>
                <w:szCs w:val="20"/>
              </w:rPr>
              <w:t>Control de versiones de documentos (seguimiento y recuperación de versiones previas)</w:t>
            </w:r>
          </w:p>
        </w:tc>
        <w:tc>
          <w:tcPr>
            <w:tcW w:w="1134" w:type="dxa"/>
            <w:tcBorders>
              <w:top w:val="nil"/>
              <w:left w:val="nil"/>
              <w:bottom w:val="single" w:sz="4" w:space="0" w:color="auto"/>
              <w:right w:val="single" w:sz="4" w:space="0" w:color="auto"/>
            </w:tcBorders>
            <w:vAlign w:val="center"/>
            <w:hideMark/>
          </w:tcPr>
          <w:p w14:paraId="243362F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2674E7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FA33115"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5179280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1.15</w:t>
            </w:r>
          </w:p>
        </w:tc>
        <w:tc>
          <w:tcPr>
            <w:tcW w:w="7019" w:type="dxa"/>
            <w:tcBorders>
              <w:top w:val="nil"/>
              <w:left w:val="nil"/>
              <w:bottom w:val="single" w:sz="4" w:space="0" w:color="auto"/>
              <w:right w:val="single" w:sz="4" w:space="0" w:color="auto"/>
            </w:tcBorders>
            <w:vAlign w:val="center"/>
            <w:hideMark/>
          </w:tcPr>
          <w:p w14:paraId="30016D7C" w14:textId="77777777" w:rsidR="00160081" w:rsidRPr="00160081" w:rsidRDefault="00160081" w:rsidP="00BD3D91">
            <w:pPr>
              <w:rPr>
                <w:rFonts w:cstheme="minorHAnsi"/>
                <w:sz w:val="20"/>
                <w:szCs w:val="20"/>
              </w:rPr>
            </w:pPr>
            <w:r w:rsidRPr="00160081">
              <w:rPr>
                <w:rFonts w:cstheme="minorHAnsi"/>
                <w:sz w:val="20"/>
                <w:szCs w:val="20"/>
              </w:rPr>
              <w:t xml:space="preserve">Integración con sistema de Notificaciones y de gestión de correo electrónico institucional para envío de documentos </w:t>
            </w:r>
          </w:p>
        </w:tc>
        <w:tc>
          <w:tcPr>
            <w:tcW w:w="1134" w:type="dxa"/>
            <w:tcBorders>
              <w:top w:val="nil"/>
              <w:left w:val="nil"/>
              <w:bottom w:val="single" w:sz="4" w:space="0" w:color="auto"/>
              <w:right w:val="single" w:sz="4" w:space="0" w:color="auto"/>
            </w:tcBorders>
            <w:vAlign w:val="center"/>
            <w:hideMark/>
          </w:tcPr>
          <w:p w14:paraId="41D1F8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F439B2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DCB1A7B"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429EC24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1.16</w:t>
            </w:r>
          </w:p>
        </w:tc>
        <w:tc>
          <w:tcPr>
            <w:tcW w:w="7019" w:type="dxa"/>
            <w:tcBorders>
              <w:top w:val="nil"/>
              <w:left w:val="nil"/>
              <w:bottom w:val="single" w:sz="4" w:space="0" w:color="auto"/>
              <w:right w:val="single" w:sz="4" w:space="0" w:color="auto"/>
            </w:tcBorders>
            <w:vAlign w:val="center"/>
            <w:hideMark/>
          </w:tcPr>
          <w:p w14:paraId="5F8FFADA" w14:textId="77777777" w:rsidR="00160081" w:rsidRPr="00160081" w:rsidRDefault="00160081" w:rsidP="00BD3D91">
            <w:pPr>
              <w:rPr>
                <w:rFonts w:cstheme="minorHAnsi"/>
                <w:sz w:val="20"/>
                <w:szCs w:val="20"/>
              </w:rPr>
            </w:pPr>
            <w:r w:rsidRPr="00160081">
              <w:rPr>
                <w:rFonts w:cstheme="minorHAnsi"/>
                <w:sz w:val="20"/>
                <w:szCs w:val="20"/>
              </w:rPr>
              <w:t>Auditoría y trazabilidad de acciones sobre documentos (quién, cuándo, qué acción)</w:t>
            </w:r>
          </w:p>
        </w:tc>
        <w:tc>
          <w:tcPr>
            <w:tcW w:w="1134" w:type="dxa"/>
            <w:tcBorders>
              <w:top w:val="nil"/>
              <w:left w:val="nil"/>
              <w:bottom w:val="single" w:sz="4" w:space="0" w:color="auto"/>
              <w:right w:val="single" w:sz="4" w:space="0" w:color="auto"/>
            </w:tcBorders>
            <w:vAlign w:val="center"/>
            <w:hideMark/>
          </w:tcPr>
          <w:p w14:paraId="31976DF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9625E5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40B6B05"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23C3D4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1.17</w:t>
            </w:r>
          </w:p>
        </w:tc>
        <w:tc>
          <w:tcPr>
            <w:tcW w:w="7019" w:type="dxa"/>
            <w:tcBorders>
              <w:top w:val="nil"/>
              <w:left w:val="nil"/>
              <w:bottom w:val="single" w:sz="4" w:space="0" w:color="auto"/>
              <w:right w:val="single" w:sz="4" w:space="0" w:color="auto"/>
            </w:tcBorders>
            <w:vAlign w:val="center"/>
            <w:hideMark/>
          </w:tcPr>
          <w:p w14:paraId="2AC86B1C" w14:textId="77777777" w:rsidR="00160081" w:rsidRPr="00160081" w:rsidRDefault="00160081" w:rsidP="00BD3D91">
            <w:pPr>
              <w:rPr>
                <w:rFonts w:cstheme="minorHAnsi"/>
                <w:sz w:val="20"/>
                <w:szCs w:val="20"/>
              </w:rPr>
            </w:pPr>
            <w:r w:rsidRPr="00160081">
              <w:rPr>
                <w:rFonts w:cstheme="minorHAnsi"/>
                <w:sz w:val="20"/>
                <w:szCs w:val="20"/>
              </w:rPr>
              <w:t xml:space="preserve">Sistema de </w:t>
            </w:r>
            <w:proofErr w:type="spellStart"/>
            <w:r w:rsidRPr="00160081">
              <w:rPr>
                <w:rFonts w:cstheme="minorHAnsi"/>
                <w:sz w:val="20"/>
                <w:szCs w:val="20"/>
              </w:rPr>
              <w:t>backup</w:t>
            </w:r>
            <w:proofErr w:type="spellEnd"/>
            <w:r w:rsidRPr="00160081">
              <w:rPr>
                <w:rFonts w:cstheme="minorHAnsi"/>
                <w:sz w:val="20"/>
                <w:szCs w:val="20"/>
              </w:rPr>
              <w:t xml:space="preserve"> automático y recuperación ante desastres (offline)</w:t>
            </w:r>
          </w:p>
        </w:tc>
        <w:tc>
          <w:tcPr>
            <w:tcW w:w="1134" w:type="dxa"/>
            <w:tcBorders>
              <w:top w:val="nil"/>
              <w:left w:val="nil"/>
              <w:bottom w:val="single" w:sz="4" w:space="0" w:color="auto"/>
              <w:right w:val="single" w:sz="4" w:space="0" w:color="auto"/>
            </w:tcBorders>
            <w:vAlign w:val="center"/>
            <w:hideMark/>
          </w:tcPr>
          <w:p w14:paraId="65C1DD7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1559" w:type="dxa"/>
            <w:tcBorders>
              <w:top w:val="nil"/>
              <w:left w:val="nil"/>
              <w:bottom w:val="single" w:sz="4" w:space="0" w:color="auto"/>
              <w:right w:val="single" w:sz="4" w:space="0" w:color="auto"/>
            </w:tcBorders>
            <w:vAlign w:val="center"/>
            <w:hideMark/>
          </w:tcPr>
          <w:p w14:paraId="59595B2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4C91E91"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551575F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1.18</w:t>
            </w:r>
          </w:p>
        </w:tc>
        <w:tc>
          <w:tcPr>
            <w:tcW w:w="7019" w:type="dxa"/>
            <w:tcBorders>
              <w:top w:val="nil"/>
              <w:left w:val="nil"/>
              <w:bottom w:val="single" w:sz="4" w:space="0" w:color="auto"/>
              <w:right w:val="single" w:sz="4" w:space="0" w:color="auto"/>
            </w:tcBorders>
            <w:vAlign w:val="center"/>
            <w:hideMark/>
          </w:tcPr>
          <w:p w14:paraId="335B1B5C" w14:textId="77777777" w:rsidR="00160081" w:rsidRPr="00160081" w:rsidRDefault="00160081" w:rsidP="00BD3D91">
            <w:pPr>
              <w:rPr>
                <w:rFonts w:cstheme="minorHAnsi"/>
                <w:sz w:val="20"/>
                <w:szCs w:val="20"/>
              </w:rPr>
            </w:pPr>
            <w:r w:rsidRPr="00160081">
              <w:rPr>
                <w:rFonts w:cstheme="minorHAnsi"/>
                <w:sz w:val="20"/>
                <w:szCs w:val="20"/>
              </w:rPr>
              <w:t>El sistema debería tener la capacidad de reconocer características de los documentos y clasificarlos de manera automática dentro del repositorio.</w:t>
            </w:r>
          </w:p>
        </w:tc>
        <w:tc>
          <w:tcPr>
            <w:tcW w:w="1134" w:type="dxa"/>
            <w:tcBorders>
              <w:top w:val="nil"/>
              <w:left w:val="nil"/>
              <w:bottom w:val="single" w:sz="4" w:space="0" w:color="auto"/>
              <w:right w:val="single" w:sz="4" w:space="0" w:color="auto"/>
            </w:tcBorders>
            <w:vAlign w:val="center"/>
            <w:hideMark/>
          </w:tcPr>
          <w:p w14:paraId="49356CB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1988F9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A25DE00"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62A69F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1.19</w:t>
            </w:r>
          </w:p>
        </w:tc>
        <w:tc>
          <w:tcPr>
            <w:tcW w:w="7019" w:type="dxa"/>
            <w:tcBorders>
              <w:top w:val="nil"/>
              <w:left w:val="nil"/>
              <w:bottom w:val="single" w:sz="4" w:space="0" w:color="auto"/>
              <w:right w:val="single" w:sz="4" w:space="0" w:color="auto"/>
            </w:tcBorders>
            <w:vAlign w:val="center"/>
            <w:hideMark/>
          </w:tcPr>
          <w:p w14:paraId="2D514B3E" w14:textId="77777777" w:rsidR="00160081" w:rsidRPr="00160081" w:rsidRDefault="00160081" w:rsidP="00BD3D91">
            <w:pPr>
              <w:rPr>
                <w:rFonts w:cstheme="minorHAnsi"/>
                <w:sz w:val="20"/>
                <w:szCs w:val="20"/>
              </w:rPr>
            </w:pPr>
            <w:r w:rsidRPr="00160081">
              <w:rPr>
                <w:rFonts w:cstheme="minorHAnsi"/>
                <w:sz w:val="20"/>
                <w:szCs w:val="20"/>
              </w:rPr>
              <w:t xml:space="preserve">Contar con un componente de Reconocimiento Óptico de Caracteres (OCR) que permita convertir documentos escaneados o imágenes en archivos digitales con texto editable y </w:t>
            </w:r>
            <w:proofErr w:type="spellStart"/>
            <w:r w:rsidRPr="00160081">
              <w:rPr>
                <w:rFonts w:cstheme="minorHAnsi"/>
                <w:sz w:val="20"/>
                <w:szCs w:val="20"/>
              </w:rPr>
              <w:t>buscable</w:t>
            </w:r>
            <w:proofErr w:type="spellEnd"/>
          </w:p>
        </w:tc>
        <w:tc>
          <w:tcPr>
            <w:tcW w:w="1134" w:type="dxa"/>
            <w:tcBorders>
              <w:top w:val="nil"/>
              <w:left w:val="nil"/>
              <w:bottom w:val="single" w:sz="4" w:space="0" w:color="auto"/>
              <w:right w:val="single" w:sz="4" w:space="0" w:color="auto"/>
            </w:tcBorders>
            <w:vAlign w:val="center"/>
            <w:hideMark/>
          </w:tcPr>
          <w:p w14:paraId="22C059B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83DE92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2FBE3F4"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69C26A4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1.20</w:t>
            </w:r>
          </w:p>
        </w:tc>
        <w:tc>
          <w:tcPr>
            <w:tcW w:w="7019" w:type="dxa"/>
            <w:tcBorders>
              <w:top w:val="nil"/>
              <w:left w:val="nil"/>
              <w:bottom w:val="single" w:sz="4" w:space="0" w:color="auto"/>
              <w:right w:val="single" w:sz="4" w:space="0" w:color="auto"/>
            </w:tcBorders>
            <w:vAlign w:val="center"/>
            <w:hideMark/>
          </w:tcPr>
          <w:p w14:paraId="62735205" w14:textId="77777777" w:rsidR="00160081" w:rsidRPr="00160081" w:rsidRDefault="00160081" w:rsidP="00BD3D91">
            <w:pPr>
              <w:rPr>
                <w:rFonts w:cstheme="minorHAnsi"/>
                <w:sz w:val="20"/>
                <w:szCs w:val="20"/>
              </w:rPr>
            </w:pPr>
            <w:r w:rsidRPr="00160081">
              <w:rPr>
                <w:rFonts w:cstheme="minorHAnsi"/>
                <w:sz w:val="20"/>
                <w:szCs w:val="20"/>
              </w:rPr>
              <w:t>El ECM deberá permitir que los documentos previamente cargados puedan ser descargados a través de enlaces únicos (URL) accesibles tanto desde la web como desde la intranet institucional.</w:t>
            </w:r>
          </w:p>
        </w:tc>
        <w:tc>
          <w:tcPr>
            <w:tcW w:w="1134" w:type="dxa"/>
            <w:tcBorders>
              <w:top w:val="nil"/>
              <w:left w:val="nil"/>
              <w:bottom w:val="single" w:sz="4" w:space="0" w:color="auto"/>
              <w:right w:val="single" w:sz="4" w:space="0" w:color="auto"/>
            </w:tcBorders>
            <w:vAlign w:val="center"/>
            <w:hideMark/>
          </w:tcPr>
          <w:p w14:paraId="7D1E872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734786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5355FD0" w14:textId="77777777" w:rsidTr="007A425E">
        <w:trPr>
          <w:trHeight w:val="960"/>
        </w:trPr>
        <w:tc>
          <w:tcPr>
            <w:tcW w:w="0" w:type="auto"/>
            <w:tcBorders>
              <w:top w:val="nil"/>
              <w:left w:val="single" w:sz="4" w:space="0" w:color="auto"/>
              <w:bottom w:val="single" w:sz="4" w:space="0" w:color="auto"/>
              <w:right w:val="single" w:sz="4" w:space="0" w:color="auto"/>
            </w:tcBorders>
            <w:vAlign w:val="center"/>
            <w:hideMark/>
          </w:tcPr>
          <w:p w14:paraId="2464EDF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1.21</w:t>
            </w:r>
          </w:p>
        </w:tc>
        <w:tc>
          <w:tcPr>
            <w:tcW w:w="7019" w:type="dxa"/>
            <w:tcBorders>
              <w:top w:val="nil"/>
              <w:left w:val="nil"/>
              <w:bottom w:val="single" w:sz="4" w:space="0" w:color="auto"/>
              <w:right w:val="single" w:sz="4" w:space="0" w:color="auto"/>
            </w:tcBorders>
            <w:vAlign w:val="center"/>
            <w:hideMark/>
          </w:tcPr>
          <w:p w14:paraId="4F0B07C2" w14:textId="77777777" w:rsidR="00160081" w:rsidRPr="00160081" w:rsidRDefault="00160081" w:rsidP="00BD3D91">
            <w:pPr>
              <w:rPr>
                <w:rFonts w:cstheme="minorHAnsi"/>
                <w:sz w:val="20"/>
                <w:szCs w:val="20"/>
              </w:rPr>
            </w:pPr>
            <w:r w:rsidRPr="00160081">
              <w:rPr>
                <w:rFonts w:cstheme="minorHAnsi"/>
                <w:sz w:val="20"/>
                <w:szCs w:val="20"/>
              </w:rPr>
              <w:t>El ECM deberá permitir aplicar automáticamente las políticas de retención documental, incluyendo alertas de vencimiento, transferencia a archivos históricos o eliminación segura, conforme a la normativa archivística vigente.</w:t>
            </w:r>
          </w:p>
        </w:tc>
        <w:tc>
          <w:tcPr>
            <w:tcW w:w="1134" w:type="dxa"/>
            <w:tcBorders>
              <w:top w:val="nil"/>
              <w:left w:val="nil"/>
              <w:bottom w:val="single" w:sz="4" w:space="0" w:color="auto"/>
              <w:right w:val="single" w:sz="4" w:space="0" w:color="auto"/>
            </w:tcBorders>
            <w:vAlign w:val="center"/>
            <w:hideMark/>
          </w:tcPr>
          <w:p w14:paraId="7535793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F770CD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5931C09"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5BA98D1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1.22</w:t>
            </w:r>
          </w:p>
        </w:tc>
        <w:tc>
          <w:tcPr>
            <w:tcW w:w="7019" w:type="dxa"/>
            <w:tcBorders>
              <w:top w:val="nil"/>
              <w:left w:val="nil"/>
              <w:bottom w:val="single" w:sz="4" w:space="0" w:color="auto"/>
              <w:right w:val="single" w:sz="4" w:space="0" w:color="auto"/>
            </w:tcBorders>
            <w:vAlign w:val="center"/>
            <w:hideMark/>
          </w:tcPr>
          <w:p w14:paraId="1297C0F2" w14:textId="77777777" w:rsidR="00160081" w:rsidRPr="00160081" w:rsidRDefault="00160081" w:rsidP="00BD3D91">
            <w:pPr>
              <w:rPr>
                <w:rFonts w:cstheme="minorHAnsi"/>
                <w:sz w:val="20"/>
                <w:szCs w:val="20"/>
              </w:rPr>
            </w:pPr>
            <w:r w:rsidRPr="00160081">
              <w:rPr>
                <w:rFonts w:cstheme="minorHAnsi"/>
                <w:sz w:val="20"/>
                <w:szCs w:val="20"/>
              </w:rPr>
              <w:t>Permitir consultar y visualizar documentos alojados en aplicaciones legadas de forma integrada, sin necesidad de cambiar de sistema o abrir otros aplicativos externos.</w:t>
            </w:r>
          </w:p>
        </w:tc>
        <w:tc>
          <w:tcPr>
            <w:tcW w:w="1134" w:type="dxa"/>
            <w:tcBorders>
              <w:top w:val="nil"/>
              <w:left w:val="nil"/>
              <w:bottom w:val="single" w:sz="4" w:space="0" w:color="auto"/>
              <w:right w:val="single" w:sz="4" w:space="0" w:color="auto"/>
            </w:tcBorders>
            <w:vAlign w:val="center"/>
            <w:hideMark/>
          </w:tcPr>
          <w:p w14:paraId="62D1BFD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3BA1A6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4A768EC"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67A7577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1.23</w:t>
            </w:r>
          </w:p>
        </w:tc>
        <w:tc>
          <w:tcPr>
            <w:tcW w:w="7019" w:type="dxa"/>
            <w:tcBorders>
              <w:top w:val="nil"/>
              <w:left w:val="nil"/>
              <w:bottom w:val="single" w:sz="4" w:space="0" w:color="auto"/>
              <w:right w:val="single" w:sz="4" w:space="0" w:color="auto"/>
            </w:tcBorders>
            <w:vAlign w:val="center"/>
            <w:hideMark/>
          </w:tcPr>
          <w:p w14:paraId="19D3540A" w14:textId="77777777" w:rsidR="00160081" w:rsidRPr="00160081" w:rsidRDefault="00160081" w:rsidP="00BD3D91">
            <w:pPr>
              <w:rPr>
                <w:rFonts w:cstheme="minorHAnsi"/>
                <w:sz w:val="20"/>
                <w:szCs w:val="20"/>
              </w:rPr>
            </w:pPr>
            <w:r w:rsidRPr="00160081">
              <w:rPr>
                <w:rFonts w:cstheme="minorHAnsi"/>
                <w:sz w:val="20"/>
                <w:szCs w:val="20"/>
              </w:rPr>
              <w:t xml:space="preserve">Permitir que los documentos escaneados en los equipos de digitalización de la institución se integren de manera automática al expediente electrónico correspondiente. </w:t>
            </w:r>
          </w:p>
        </w:tc>
        <w:tc>
          <w:tcPr>
            <w:tcW w:w="1134" w:type="dxa"/>
            <w:tcBorders>
              <w:top w:val="nil"/>
              <w:left w:val="nil"/>
              <w:bottom w:val="single" w:sz="4" w:space="0" w:color="auto"/>
              <w:right w:val="single" w:sz="4" w:space="0" w:color="auto"/>
            </w:tcBorders>
            <w:vAlign w:val="center"/>
            <w:hideMark/>
          </w:tcPr>
          <w:p w14:paraId="5B4BB5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026C027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AD5CE41"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2570E97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1.24</w:t>
            </w:r>
          </w:p>
        </w:tc>
        <w:tc>
          <w:tcPr>
            <w:tcW w:w="7019" w:type="dxa"/>
            <w:tcBorders>
              <w:top w:val="nil"/>
              <w:left w:val="nil"/>
              <w:bottom w:val="single" w:sz="4" w:space="0" w:color="auto"/>
              <w:right w:val="single" w:sz="4" w:space="0" w:color="auto"/>
            </w:tcBorders>
            <w:vAlign w:val="center"/>
            <w:hideMark/>
          </w:tcPr>
          <w:p w14:paraId="77B99937" w14:textId="77777777" w:rsidR="00160081" w:rsidRPr="00160081" w:rsidRDefault="00160081" w:rsidP="00BD3D91">
            <w:pPr>
              <w:rPr>
                <w:rFonts w:cstheme="minorHAnsi"/>
                <w:sz w:val="20"/>
                <w:szCs w:val="20"/>
              </w:rPr>
            </w:pPr>
            <w:r w:rsidRPr="00160081">
              <w:rPr>
                <w:rFonts w:cstheme="minorHAnsi"/>
                <w:sz w:val="20"/>
                <w:szCs w:val="20"/>
              </w:rPr>
              <w:t xml:space="preserve">El ECM deberá incluir capacidades nativas de </w:t>
            </w:r>
            <w:proofErr w:type="spellStart"/>
            <w:r w:rsidRPr="00160081">
              <w:rPr>
                <w:rFonts w:cstheme="minorHAnsi"/>
                <w:sz w:val="20"/>
                <w:szCs w:val="20"/>
              </w:rPr>
              <w:t>workflow</w:t>
            </w:r>
            <w:proofErr w:type="spellEnd"/>
            <w:r w:rsidRPr="00160081">
              <w:rPr>
                <w:rFonts w:cstheme="minorHAnsi"/>
                <w:sz w:val="20"/>
                <w:szCs w:val="20"/>
              </w:rPr>
              <w:t xml:space="preserve"> documental para aprobación, revisión y enrutamiento de documentos, integradas con BPMS y configurables sin desarrollo.</w:t>
            </w:r>
          </w:p>
        </w:tc>
        <w:tc>
          <w:tcPr>
            <w:tcW w:w="1134" w:type="dxa"/>
            <w:tcBorders>
              <w:top w:val="nil"/>
              <w:left w:val="nil"/>
              <w:bottom w:val="single" w:sz="4" w:space="0" w:color="auto"/>
              <w:right w:val="single" w:sz="4" w:space="0" w:color="auto"/>
            </w:tcBorders>
            <w:vAlign w:val="center"/>
            <w:hideMark/>
          </w:tcPr>
          <w:p w14:paraId="2637D4D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6EE30E0"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6B9B141B"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3756550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1.25</w:t>
            </w:r>
          </w:p>
        </w:tc>
        <w:tc>
          <w:tcPr>
            <w:tcW w:w="7019" w:type="dxa"/>
            <w:tcBorders>
              <w:top w:val="nil"/>
              <w:left w:val="nil"/>
              <w:bottom w:val="single" w:sz="4" w:space="0" w:color="auto"/>
              <w:right w:val="single" w:sz="4" w:space="0" w:color="auto"/>
            </w:tcBorders>
            <w:vAlign w:val="center"/>
            <w:hideMark/>
          </w:tcPr>
          <w:p w14:paraId="0608B6FA" w14:textId="77777777" w:rsidR="00160081" w:rsidRPr="00160081" w:rsidRDefault="00160081" w:rsidP="00BD3D91">
            <w:pPr>
              <w:rPr>
                <w:rFonts w:cstheme="minorHAnsi"/>
                <w:sz w:val="20"/>
                <w:szCs w:val="20"/>
              </w:rPr>
            </w:pPr>
            <w:r w:rsidRPr="00160081">
              <w:rPr>
                <w:rFonts w:cstheme="minorHAnsi"/>
                <w:sz w:val="20"/>
                <w:szCs w:val="20"/>
              </w:rPr>
              <w:t xml:space="preserve">El ECM deberá gestionar expedientes estructurados con metadatos obligatorios y opcionales, </w:t>
            </w:r>
            <w:proofErr w:type="spellStart"/>
            <w:r w:rsidRPr="00160081">
              <w:rPr>
                <w:rFonts w:cstheme="minorHAnsi"/>
                <w:sz w:val="20"/>
                <w:szCs w:val="20"/>
              </w:rPr>
              <w:t>versionamiento</w:t>
            </w:r>
            <w:proofErr w:type="spellEnd"/>
            <w:r w:rsidRPr="00160081">
              <w:rPr>
                <w:rFonts w:cstheme="minorHAnsi"/>
                <w:sz w:val="20"/>
                <w:szCs w:val="20"/>
              </w:rPr>
              <w:t xml:space="preserve"> de documentos, auditoría de accesos y bloqueo editorial.</w:t>
            </w:r>
          </w:p>
        </w:tc>
        <w:tc>
          <w:tcPr>
            <w:tcW w:w="1134" w:type="dxa"/>
            <w:tcBorders>
              <w:top w:val="nil"/>
              <w:left w:val="nil"/>
              <w:bottom w:val="single" w:sz="4" w:space="0" w:color="auto"/>
              <w:right w:val="single" w:sz="4" w:space="0" w:color="auto"/>
            </w:tcBorders>
            <w:vAlign w:val="center"/>
            <w:hideMark/>
          </w:tcPr>
          <w:p w14:paraId="1760489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3CDDCC3"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79644354"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375F45E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1.26</w:t>
            </w:r>
          </w:p>
        </w:tc>
        <w:tc>
          <w:tcPr>
            <w:tcW w:w="7019" w:type="dxa"/>
            <w:tcBorders>
              <w:top w:val="nil"/>
              <w:left w:val="nil"/>
              <w:bottom w:val="single" w:sz="4" w:space="0" w:color="auto"/>
              <w:right w:val="single" w:sz="4" w:space="0" w:color="auto"/>
            </w:tcBorders>
            <w:vAlign w:val="center"/>
            <w:hideMark/>
          </w:tcPr>
          <w:p w14:paraId="5D094638" w14:textId="77777777" w:rsidR="00160081" w:rsidRPr="00160081" w:rsidRDefault="00160081" w:rsidP="00BD3D91">
            <w:pPr>
              <w:rPr>
                <w:rFonts w:cstheme="minorHAnsi"/>
                <w:sz w:val="20"/>
                <w:szCs w:val="20"/>
              </w:rPr>
            </w:pPr>
            <w:r w:rsidRPr="00160081">
              <w:rPr>
                <w:rFonts w:cstheme="minorHAnsi"/>
                <w:sz w:val="20"/>
                <w:szCs w:val="20"/>
              </w:rPr>
              <w:t>El ECM deberá incluir OCR extensible para reconocimiento masivo de documentos, con índices configurables y extracción de texto para búsqueda.</w:t>
            </w:r>
          </w:p>
        </w:tc>
        <w:tc>
          <w:tcPr>
            <w:tcW w:w="1134" w:type="dxa"/>
            <w:tcBorders>
              <w:top w:val="nil"/>
              <w:left w:val="nil"/>
              <w:bottom w:val="single" w:sz="4" w:space="0" w:color="auto"/>
              <w:right w:val="single" w:sz="4" w:space="0" w:color="auto"/>
            </w:tcBorders>
            <w:vAlign w:val="center"/>
            <w:hideMark/>
          </w:tcPr>
          <w:p w14:paraId="47D7BE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AC6D849"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06EEAA2B"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1677F36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1.27</w:t>
            </w:r>
          </w:p>
        </w:tc>
        <w:tc>
          <w:tcPr>
            <w:tcW w:w="7019" w:type="dxa"/>
            <w:tcBorders>
              <w:top w:val="nil"/>
              <w:left w:val="nil"/>
              <w:bottom w:val="single" w:sz="4" w:space="0" w:color="auto"/>
              <w:right w:val="single" w:sz="4" w:space="0" w:color="auto"/>
            </w:tcBorders>
            <w:vAlign w:val="center"/>
            <w:hideMark/>
          </w:tcPr>
          <w:p w14:paraId="12C1F3C4" w14:textId="77777777" w:rsidR="00160081" w:rsidRPr="00160081" w:rsidRDefault="00160081" w:rsidP="00BD3D91">
            <w:pPr>
              <w:rPr>
                <w:rFonts w:cstheme="minorHAnsi"/>
                <w:sz w:val="20"/>
                <w:szCs w:val="20"/>
              </w:rPr>
            </w:pPr>
            <w:r w:rsidRPr="00160081">
              <w:rPr>
                <w:rFonts w:cstheme="minorHAnsi"/>
                <w:sz w:val="20"/>
                <w:szCs w:val="20"/>
              </w:rPr>
              <w:t>El ECM deberá contar con un módulo administrativo que permita clasificar documentos según su nivel de acceso (público, reservado, confidencial).</w:t>
            </w:r>
          </w:p>
        </w:tc>
        <w:tc>
          <w:tcPr>
            <w:tcW w:w="1134" w:type="dxa"/>
            <w:tcBorders>
              <w:top w:val="nil"/>
              <w:left w:val="nil"/>
              <w:bottom w:val="single" w:sz="4" w:space="0" w:color="auto"/>
              <w:right w:val="single" w:sz="4" w:space="0" w:color="auto"/>
            </w:tcBorders>
            <w:vAlign w:val="center"/>
            <w:hideMark/>
          </w:tcPr>
          <w:p w14:paraId="35B159E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6FD2D97E"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12584174"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0D02DC9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1.28</w:t>
            </w:r>
          </w:p>
        </w:tc>
        <w:tc>
          <w:tcPr>
            <w:tcW w:w="7019" w:type="dxa"/>
            <w:tcBorders>
              <w:top w:val="nil"/>
              <w:left w:val="nil"/>
              <w:bottom w:val="single" w:sz="4" w:space="0" w:color="auto"/>
              <w:right w:val="single" w:sz="4" w:space="0" w:color="auto"/>
            </w:tcBorders>
            <w:vAlign w:val="center"/>
            <w:hideMark/>
          </w:tcPr>
          <w:p w14:paraId="41D60DDC" w14:textId="77777777" w:rsidR="00160081" w:rsidRPr="00160081" w:rsidRDefault="00160081" w:rsidP="00BD3D91">
            <w:pPr>
              <w:rPr>
                <w:rFonts w:cstheme="minorHAnsi"/>
                <w:sz w:val="20"/>
                <w:szCs w:val="20"/>
              </w:rPr>
            </w:pPr>
            <w:r w:rsidRPr="00160081">
              <w:rPr>
                <w:rFonts w:cstheme="minorHAnsi"/>
                <w:sz w:val="20"/>
                <w:szCs w:val="20"/>
              </w:rPr>
              <w:t>El ECM deberá soportar, de forma nativa u opcional, servicios documentales como préstamo, copias certificadas, copias simples y desglose documental, con trazabilidad completa conforme normativa archivística.</w:t>
            </w:r>
          </w:p>
        </w:tc>
        <w:tc>
          <w:tcPr>
            <w:tcW w:w="1134" w:type="dxa"/>
            <w:tcBorders>
              <w:top w:val="nil"/>
              <w:left w:val="nil"/>
              <w:bottom w:val="single" w:sz="4" w:space="0" w:color="auto"/>
              <w:right w:val="single" w:sz="4" w:space="0" w:color="auto"/>
            </w:tcBorders>
            <w:vAlign w:val="center"/>
            <w:hideMark/>
          </w:tcPr>
          <w:p w14:paraId="4BDE8BC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3A66AB4"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775F3153" w14:textId="77777777" w:rsidTr="007A425E">
        <w:trPr>
          <w:trHeight w:val="2400"/>
        </w:trPr>
        <w:tc>
          <w:tcPr>
            <w:tcW w:w="0" w:type="auto"/>
            <w:tcBorders>
              <w:top w:val="nil"/>
              <w:left w:val="single" w:sz="4" w:space="0" w:color="auto"/>
              <w:bottom w:val="single" w:sz="4" w:space="0" w:color="auto"/>
              <w:right w:val="single" w:sz="4" w:space="0" w:color="auto"/>
            </w:tcBorders>
            <w:vAlign w:val="center"/>
            <w:hideMark/>
          </w:tcPr>
          <w:p w14:paraId="5ED3AC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1.29</w:t>
            </w:r>
          </w:p>
        </w:tc>
        <w:tc>
          <w:tcPr>
            <w:tcW w:w="7019" w:type="dxa"/>
            <w:tcBorders>
              <w:top w:val="nil"/>
              <w:left w:val="nil"/>
              <w:bottom w:val="single" w:sz="4" w:space="0" w:color="auto"/>
              <w:right w:val="single" w:sz="4" w:space="0" w:color="auto"/>
            </w:tcBorders>
            <w:vAlign w:val="center"/>
            <w:hideMark/>
          </w:tcPr>
          <w:p w14:paraId="7983D40F" w14:textId="77777777" w:rsidR="00160081" w:rsidRPr="00160081" w:rsidRDefault="00160081" w:rsidP="00BD3D91">
            <w:pPr>
              <w:rPr>
                <w:rFonts w:cstheme="minorHAnsi"/>
                <w:sz w:val="20"/>
                <w:szCs w:val="20"/>
              </w:rPr>
            </w:pPr>
            <w:r w:rsidRPr="00160081">
              <w:rPr>
                <w:rFonts w:cstheme="minorHAnsi"/>
                <w:sz w:val="20"/>
                <w:szCs w:val="20"/>
              </w:rPr>
              <w:t>El sistema deberá permitir a los usuarios unir múltiples archivos en formato PDF en un solo documento consolidado, manteniendo el orden de las páginas según la secuencia definida por el usuario. La funcionalidad deberá garantizar que el documento resultante conserve la integridad del contenido original (texto, imágenes, tablas, firmas digitales), permitiendo además asignar un nombre único al archivo final y almacenarlo automáticamente en el expediente digital correspondiente. El proceso deberá registrar trazabilidad de la acción realizada, incluyendo usuario, fecha, hora y documentos origen, asegurando transparencia y control en la gestión documental.</w:t>
            </w:r>
          </w:p>
        </w:tc>
        <w:tc>
          <w:tcPr>
            <w:tcW w:w="1134" w:type="dxa"/>
            <w:tcBorders>
              <w:top w:val="nil"/>
              <w:left w:val="nil"/>
              <w:bottom w:val="single" w:sz="4" w:space="0" w:color="auto"/>
              <w:right w:val="single" w:sz="4" w:space="0" w:color="auto"/>
            </w:tcBorders>
            <w:vAlign w:val="center"/>
            <w:hideMark/>
          </w:tcPr>
          <w:p w14:paraId="516B483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BBE8774"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1A25C79F" w14:textId="77777777" w:rsidTr="007A425E">
        <w:trPr>
          <w:trHeight w:val="2400"/>
        </w:trPr>
        <w:tc>
          <w:tcPr>
            <w:tcW w:w="0" w:type="auto"/>
            <w:tcBorders>
              <w:top w:val="nil"/>
              <w:left w:val="single" w:sz="4" w:space="0" w:color="auto"/>
              <w:bottom w:val="single" w:sz="4" w:space="0" w:color="auto"/>
              <w:right w:val="single" w:sz="4" w:space="0" w:color="auto"/>
            </w:tcBorders>
            <w:vAlign w:val="center"/>
            <w:hideMark/>
          </w:tcPr>
          <w:p w14:paraId="19F4223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1.30</w:t>
            </w:r>
          </w:p>
        </w:tc>
        <w:tc>
          <w:tcPr>
            <w:tcW w:w="7019" w:type="dxa"/>
            <w:tcBorders>
              <w:top w:val="nil"/>
              <w:left w:val="nil"/>
              <w:bottom w:val="single" w:sz="4" w:space="0" w:color="auto"/>
              <w:right w:val="single" w:sz="4" w:space="0" w:color="auto"/>
            </w:tcBorders>
            <w:vAlign w:val="center"/>
            <w:hideMark/>
          </w:tcPr>
          <w:p w14:paraId="45D20C9F" w14:textId="77777777" w:rsidR="00160081" w:rsidRPr="00160081" w:rsidRDefault="00160081" w:rsidP="00BD3D91">
            <w:pPr>
              <w:rPr>
                <w:rFonts w:cstheme="minorHAnsi"/>
                <w:sz w:val="20"/>
                <w:szCs w:val="20"/>
              </w:rPr>
            </w:pPr>
            <w:r w:rsidRPr="00160081">
              <w:rPr>
                <w:rFonts w:cstheme="minorHAnsi"/>
                <w:sz w:val="20"/>
                <w:szCs w:val="20"/>
              </w:rPr>
              <w:t>El sistema ECM deberá contar con un módulo de reportería que permita la generación, visualización y exportación de informes personalizados sobre el ciclo de vida documental, el uso del sistema y el cumplimiento de los procesos definidos. Dicho módulo deberá ofrecer reportes en tiempo real, con filtros configurables por usuario, área, tipo documental y periodo de tiempo, garantizando la trazabilidad de las acciones realizadas sobre los documentos. Además, deberá incluir opciones de exportación en formatos estándar (PDF, Excel, CSV) y permitir la programación automática de reportes para su distribución a los responsables de gestión documental y a la alta dirección.</w:t>
            </w:r>
          </w:p>
        </w:tc>
        <w:tc>
          <w:tcPr>
            <w:tcW w:w="1134" w:type="dxa"/>
            <w:tcBorders>
              <w:top w:val="nil"/>
              <w:left w:val="nil"/>
              <w:bottom w:val="single" w:sz="4" w:space="0" w:color="auto"/>
              <w:right w:val="single" w:sz="4" w:space="0" w:color="auto"/>
            </w:tcBorders>
            <w:vAlign w:val="center"/>
            <w:hideMark/>
          </w:tcPr>
          <w:p w14:paraId="263B0B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23F86DE"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2C8513F6" w14:textId="77777777" w:rsidTr="007A425E">
        <w:trPr>
          <w:trHeight w:val="270"/>
        </w:trPr>
        <w:tc>
          <w:tcPr>
            <w:tcW w:w="0" w:type="auto"/>
            <w:tcBorders>
              <w:top w:val="nil"/>
              <w:left w:val="single" w:sz="4" w:space="0" w:color="auto"/>
              <w:bottom w:val="single" w:sz="4" w:space="0" w:color="auto"/>
              <w:right w:val="single" w:sz="4" w:space="0" w:color="auto"/>
            </w:tcBorders>
            <w:shd w:val="clear" w:color="000000" w:fill="E6E6E6"/>
            <w:vAlign w:val="center"/>
            <w:hideMark/>
          </w:tcPr>
          <w:p w14:paraId="3667D17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w:t>
            </w:r>
          </w:p>
        </w:tc>
        <w:tc>
          <w:tcPr>
            <w:tcW w:w="7019" w:type="dxa"/>
            <w:tcBorders>
              <w:top w:val="nil"/>
              <w:left w:val="nil"/>
              <w:bottom w:val="single" w:sz="4" w:space="0" w:color="auto"/>
              <w:right w:val="single" w:sz="8" w:space="0" w:color="auto"/>
            </w:tcBorders>
            <w:shd w:val="clear" w:color="000000" w:fill="E6E6E6"/>
            <w:vAlign w:val="center"/>
            <w:hideMark/>
          </w:tcPr>
          <w:p w14:paraId="47DC8120" w14:textId="77777777" w:rsidR="00160081" w:rsidRPr="00160081" w:rsidRDefault="00160081" w:rsidP="00BD3D91">
            <w:pPr>
              <w:jc w:val="center"/>
              <w:rPr>
                <w:rFonts w:cstheme="minorHAnsi"/>
                <w:b/>
                <w:bCs/>
                <w:sz w:val="20"/>
                <w:szCs w:val="20"/>
              </w:rPr>
            </w:pPr>
            <w:r w:rsidRPr="00160081">
              <w:rPr>
                <w:rFonts w:cstheme="minorHAnsi"/>
                <w:b/>
                <w:bCs/>
                <w:sz w:val="20"/>
                <w:szCs w:val="20"/>
              </w:rPr>
              <w:t>GENERADOR DE DOCUMENTOS</w:t>
            </w:r>
          </w:p>
        </w:tc>
        <w:tc>
          <w:tcPr>
            <w:tcW w:w="1134" w:type="dxa"/>
            <w:tcBorders>
              <w:top w:val="nil"/>
              <w:left w:val="single" w:sz="4" w:space="0" w:color="auto"/>
              <w:bottom w:val="single" w:sz="4" w:space="0" w:color="auto"/>
              <w:right w:val="single" w:sz="4" w:space="0" w:color="auto"/>
            </w:tcBorders>
            <w:shd w:val="clear" w:color="000000" w:fill="E6E6E6"/>
            <w:vAlign w:val="center"/>
            <w:hideMark/>
          </w:tcPr>
          <w:p w14:paraId="715284D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000000" w:fill="E6E6E6"/>
            <w:vAlign w:val="center"/>
            <w:hideMark/>
          </w:tcPr>
          <w:p w14:paraId="05BFDCC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5939BD85" w14:textId="77777777" w:rsidTr="007A425E">
        <w:trPr>
          <w:trHeight w:val="1200"/>
        </w:trPr>
        <w:tc>
          <w:tcPr>
            <w:tcW w:w="0" w:type="auto"/>
            <w:tcBorders>
              <w:top w:val="nil"/>
              <w:left w:val="single" w:sz="4" w:space="0" w:color="auto"/>
              <w:bottom w:val="single" w:sz="4" w:space="0" w:color="auto"/>
              <w:right w:val="single" w:sz="4" w:space="0" w:color="auto"/>
            </w:tcBorders>
            <w:vAlign w:val="center"/>
            <w:hideMark/>
          </w:tcPr>
          <w:p w14:paraId="085B862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w:t>
            </w:r>
          </w:p>
        </w:tc>
        <w:tc>
          <w:tcPr>
            <w:tcW w:w="7019" w:type="dxa"/>
            <w:tcBorders>
              <w:top w:val="nil"/>
              <w:left w:val="nil"/>
              <w:bottom w:val="single" w:sz="4" w:space="0" w:color="auto"/>
              <w:right w:val="single" w:sz="4" w:space="0" w:color="auto"/>
            </w:tcBorders>
            <w:vAlign w:val="center"/>
            <w:hideMark/>
          </w:tcPr>
          <w:p w14:paraId="3A367271" w14:textId="77777777" w:rsidR="00160081" w:rsidRPr="00160081" w:rsidRDefault="00160081" w:rsidP="00BD3D91">
            <w:pPr>
              <w:rPr>
                <w:rFonts w:cstheme="minorHAnsi"/>
                <w:color w:val="242424"/>
                <w:sz w:val="20"/>
                <w:szCs w:val="20"/>
              </w:rPr>
            </w:pPr>
            <w:r w:rsidRPr="00160081">
              <w:rPr>
                <w:rFonts w:cstheme="minorHAnsi"/>
                <w:color w:val="242424"/>
                <w:sz w:val="20"/>
                <w:szCs w:val="20"/>
              </w:rPr>
              <w:t xml:space="preserve">La solución deberá disponer de un generador automático de documentos institucionales basado en plantillas, capaz de producir documentos estructurados (PDF/A, ODF u otros formatos abiertos), Word y Excel, vinculados a procesos, reglas o expedientes, con </w:t>
            </w:r>
            <w:proofErr w:type="spellStart"/>
            <w:r w:rsidRPr="00160081">
              <w:rPr>
                <w:rFonts w:cstheme="minorHAnsi"/>
                <w:color w:val="242424"/>
                <w:sz w:val="20"/>
                <w:szCs w:val="20"/>
              </w:rPr>
              <w:t>versionamiento</w:t>
            </w:r>
            <w:proofErr w:type="spellEnd"/>
            <w:r w:rsidRPr="00160081">
              <w:rPr>
                <w:rFonts w:cstheme="minorHAnsi"/>
                <w:color w:val="242424"/>
                <w:sz w:val="20"/>
                <w:szCs w:val="20"/>
              </w:rPr>
              <w:t xml:space="preserve"> y trazabilidad completa.</w:t>
            </w:r>
          </w:p>
        </w:tc>
        <w:tc>
          <w:tcPr>
            <w:tcW w:w="1134" w:type="dxa"/>
            <w:tcBorders>
              <w:top w:val="nil"/>
              <w:left w:val="nil"/>
              <w:bottom w:val="single" w:sz="4" w:space="0" w:color="auto"/>
              <w:right w:val="single" w:sz="4" w:space="0" w:color="auto"/>
            </w:tcBorders>
            <w:vAlign w:val="center"/>
            <w:hideMark/>
          </w:tcPr>
          <w:p w14:paraId="55D11E9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28F298C" w14:textId="77777777" w:rsidR="00160081" w:rsidRPr="00160081" w:rsidRDefault="00160081" w:rsidP="00BD3D91">
            <w:pPr>
              <w:jc w:val="center"/>
              <w:rPr>
                <w:rFonts w:cstheme="minorHAnsi"/>
                <w:color w:val="FF0000"/>
                <w:sz w:val="20"/>
                <w:szCs w:val="20"/>
              </w:rPr>
            </w:pPr>
            <w:r w:rsidRPr="00160081">
              <w:rPr>
                <w:rFonts w:cstheme="minorHAnsi"/>
                <w:color w:val="FF0000"/>
                <w:sz w:val="20"/>
                <w:szCs w:val="20"/>
              </w:rPr>
              <w:t> </w:t>
            </w:r>
          </w:p>
        </w:tc>
      </w:tr>
      <w:tr w:rsidR="00160081" w:rsidRPr="00160081" w14:paraId="7335A7F2"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1728731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w:t>
            </w:r>
          </w:p>
        </w:tc>
        <w:tc>
          <w:tcPr>
            <w:tcW w:w="7019" w:type="dxa"/>
            <w:tcBorders>
              <w:top w:val="nil"/>
              <w:left w:val="nil"/>
              <w:bottom w:val="single" w:sz="4" w:space="0" w:color="auto"/>
              <w:right w:val="single" w:sz="4" w:space="0" w:color="auto"/>
            </w:tcBorders>
            <w:vAlign w:val="center"/>
            <w:hideMark/>
          </w:tcPr>
          <w:p w14:paraId="05D499D8"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permitir diseñar y registrar plantillas de documentos</w:t>
            </w:r>
          </w:p>
        </w:tc>
        <w:tc>
          <w:tcPr>
            <w:tcW w:w="1134" w:type="dxa"/>
            <w:tcBorders>
              <w:top w:val="nil"/>
              <w:left w:val="nil"/>
              <w:bottom w:val="single" w:sz="4" w:space="0" w:color="auto"/>
              <w:right w:val="single" w:sz="4" w:space="0" w:color="auto"/>
            </w:tcBorders>
            <w:vAlign w:val="center"/>
            <w:hideMark/>
          </w:tcPr>
          <w:p w14:paraId="481EAE7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C16D6A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5616354"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6C78E29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1.3</w:t>
            </w:r>
          </w:p>
        </w:tc>
        <w:tc>
          <w:tcPr>
            <w:tcW w:w="7019" w:type="dxa"/>
            <w:tcBorders>
              <w:top w:val="nil"/>
              <w:left w:val="nil"/>
              <w:bottom w:val="single" w:sz="4" w:space="0" w:color="auto"/>
              <w:right w:val="single" w:sz="4" w:space="0" w:color="auto"/>
            </w:tcBorders>
            <w:vAlign w:val="center"/>
            <w:hideMark/>
          </w:tcPr>
          <w:p w14:paraId="749A192A" w14:textId="77777777" w:rsidR="00160081" w:rsidRPr="00160081" w:rsidRDefault="00160081" w:rsidP="00BD3D91">
            <w:pPr>
              <w:rPr>
                <w:rFonts w:cstheme="minorHAnsi"/>
                <w:color w:val="242424"/>
                <w:sz w:val="20"/>
                <w:szCs w:val="20"/>
              </w:rPr>
            </w:pPr>
            <w:r w:rsidRPr="00160081">
              <w:rPr>
                <w:rFonts w:cstheme="minorHAnsi"/>
                <w:color w:val="242424"/>
                <w:sz w:val="20"/>
                <w:szCs w:val="20"/>
              </w:rPr>
              <w:t>Las plantillas deberán estar disponibles para reutilización en distintos procesos.</w:t>
            </w:r>
          </w:p>
        </w:tc>
        <w:tc>
          <w:tcPr>
            <w:tcW w:w="1134" w:type="dxa"/>
            <w:tcBorders>
              <w:top w:val="nil"/>
              <w:left w:val="nil"/>
              <w:bottom w:val="single" w:sz="4" w:space="0" w:color="auto"/>
              <w:right w:val="single" w:sz="4" w:space="0" w:color="auto"/>
            </w:tcBorders>
            <w:vAlign w:val="center"/>
            <w:hideMark/>
          </w:tcPr>
          <w:p w14:paraId="56C45DC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64DE54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FB0F003"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742C707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1.4</w:t>
            </w:r>
          </w:p>
        </w:tc>
        <w:tc>
          <w:tcPr>
            <w:tcW w:w="7019" w:type="dxa"/>
            <w:tcBorders>
              <w:top w:val="nil"/>
              <w:left w:val="nil"/>
              <w:bottom w:val="single" w:sz="4" w:space="0" w:color="auto"/>
              <w:right w:val="single" w:sz="4" w:space="0" w:color="auto"/>
            </w:tcBorders>
            <w:vAlign w:val="center"/>
            <w:hideMark/>
          </w:tcPr>
          <w:p w14:paraId="67E48FF3" w14:textId="77777777" w:rsidR="00160081" w:rsidRPr="00160081" w:rsidRDefault="00160081" w:rsidP="00BD3D91">
            <w:pPr>
              <w:rPr>
                <w:rFonts w:cstheme="minorHAnsi"/>
                <w:color w:val="242424"/>
                <w:sz w:val="20"/>
                <w:szCs w:val="20"/>
              </w:rPr>
            </w:pPr>
            <w:r w:rsidRPr="00160081">
              <w:rPr>
                <w:rFonts w:cstheme="minorHAnsi"/>
                <w:color w:val="242424"/>
                <w:sz w:val="20"/>
                <w:szCs w:val="20"/>
              </w:rPr>
              <w:t>Cada plantilla deberá asociarse a un grupo documental definido en la matriz de series documentales.</w:t>
            </w:r>
          </w:p>
        </w:tc>
        <w:tc>
          <w:tcPr>
            <w:tcW w:w="1134" w:type="dxa"/>
            <w:tcBorders>
              <w:top w:val="nil"/>
              <w:left w:val="nil"/>
              <w:bottom w:val="single" w:sz="4" w:space="0" w:color="auto"/>
              <w:right w:val="single" w:sz="4" w:space="0" w:color="auto"/>
            </w:tcBorders>
            <w:vAlign w:val="center"/>
            <w:hideMark/>
          </w:tcPr>
          <w:p w14:paraId="467358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229911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41905DB"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61F45AD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1.5</w:t>
            </w:r>
          </w:p>
        </w:tc>
        <w:tc>
          <w:tcPr>
            <w:tcW w:w="7019" w:type="dxa"/>
            <w:tcBorders>
              <w:top w:val="nil"/>
              <w:left w:val="nil"/>
              <w:bottom w:val="single" w:sz="4" w:space="0" w:color="auto"/>
              <w:right w:val="single" w:sz="4" w:space="0" w:color="auto"/>
            </w:tcBorders>
            <w:vAlign w:val="center"/>
            <w:hideMark/>
          </w:tcPr>
          <w:p w14:paraId="764DA2F9"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permitir parametrizar reglas de negocio para clasificar y organizar los documentos generados.</w:t>
            </w:r>
          </w:p>
        </w:tc>
        <w:tc>
          <w:tcPr>
            <w:tcW w:w="1134" w:type="dxa"/>
            <w:tcBorders>
              <w:top w:val="nil"/>
              <w:left w:val="nil"/>
              <w:bottom w:val="single" w:sz="4" w:space="0" w:color="auto"/>
              <w:right w:val="single" w:sz="4" w:space="0" w:color="auto"/>
            </w:tcBorders>
            <w:vAlign w:val="center"/>
            <w:hideMark/>
          </w:tcPr>
          <w:p w14:paraId="1B72257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0515102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5E7B8E2"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1F024EB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1.6</w:t>
            </w:r>
          </w:p>
        </w:tc>
        <w:tc>
          <w:tcPr>
            <w:tcW w:w="7019" w:type="dxa"/>
            <w:tcBorders>
              <w:top w:val="nil"/>
              <w:left w:val="nil"/>
              <w:bottom w:val="single" w:sz="4" w:space="0" w:color="auto"/>
              <w:right w:val="single" w:sz="4" w:space="0" w:color="auto"/>
            </w:tcBorders>
            <w:vAlign w:val="center"/>
            <w:hideMark/>
          </w:tcPr>
          <w:p w14:paraId="3691B59E" w14:textId="77777777" w:rsidR="00160081" w:rsidRPr="00160081" w:rsidRDefault="00160081" w:rsidP="00BD3D91">
            <w:pPr>
              <w:rPr>
                <w:rFonts w:cstheme="minorHAnsi"/>
                <w:color w:val="242424"/>
                <w:sz w:val="20"/>
                <w:szCs w:val="20"/>
              </w:rPr>
            </w:pPr>
            <w:r w:rsidRPr="00160081">
              <w:rPr>
                <w:rFonts w:cstheme="minorHAnsi"/>
                <w:color w:val="242424"/>
                <w:sz w:val="20"/>
                <w:szCs w:val="20"/>
              </w:rPr>
              <w:t>A partir de la plantilla y los valores ingresados y extraídos desde un aplicativo, el sistema deberá producir un documento completo y estructurado con opción de edición.</w:t>
            </w:r>
          </w:p>
        </w:tc>
        <w:tc>
          <w:tcPr>
            <w:tcW w:w="1134" w:type="dxa"/>
            <w:tcBorders>
              <w:top w:val="nil"/>
              <w:left w:val="nil"/>
              <w:bottom w:val="single" w:sz="4" w:space="0" w:color="auto"/>
              <w:right w:val="single" w:sz="4" w:space="0" w:color="auto"/>
            </w:tcBorders>
            <w:vAlign w:val="center"/>
            <w:hideMark/>
          </w:tcPr>
          <w:p w14:paraId="0EF135A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6A43D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556687B"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55AC9A8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1.7</w:t>
            </w:r>
          </w:p>
        </w:tc>
        <w:tc>
          <w:tcPr>
            <w:tcW w:w="7019" w:type="dxa"/>
            <w:tcBorders>
              <w:top w:val="nil"/>
              <w:left w:val="nil"/>
              <w:bottom w:val="single" w:sz="4" w:space="0" w:color="auto"/>
              <w:right w:val="single" w:sz="4" w:space="0" w:color="auto"/>
            </w:tcBorders>
            <w:vAlign w:val="center"/>
            <w:hideMark/>
          </w:tcPr>
          <w:p w14:paraId="59B02FFD" w14:textId="77777777" w:rsidR="00160081" w:rsidRPr="00160081" w:rsidRDefault="00160081" w:rsidP="00BD3D91">
            <w:pPr>
              <w:rPr>
                <w:rFonts w:cstheme="minorHAnsi"/>
                <w:color w:val="242424"/>
                <w:sz w:val="20"/>
                <w:szCs w:val="20"/>
              </w:rPr>
            </w:pPr>
            <w:r w:rsidRPr="00160081">
              <w:rPr>
                <w:rFonts w:cstheme="minorHAnsi"/>
                <w:color w:val="242424"/>
                <w:sz w:val="20"/>
                <w:szCs w:val="20"/>
              </w:rPr>
              <w:t>Debe cargar atributos específicos para cada tipo de documento.</w:t>
            </w:r>
          </w:p>
        </w:tc>
        <w:tc>
          <w:tcPr>
            <w:tcW w:w="1134" w:type="dxa"/>
            <w:tcBorders>
              <w:top w:val="nil"/>
              <w:left w:val="nil"/>
              <w:bottom w:val="single" w:sz="4" w:space="0" w:color="auto"/>
              <w:right w:val="single" w:sz="4" w:space="0" w:color="auto"/>
            </w:tcBorders>
            <w:vAlign w:val="center"/>
            <w:hideMark/>
          </w:tcPr>
          <w:p w14:paraId="572DD0A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3AB7FE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6025463"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4EF30CE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1.8</w:t>
            </w:r>
          </w:p>
        </w:tc>
        <w:tc>
          <w:tcPr>
            <w:tcW w:w="7019" w:type="dxa"/>
            <w:tcBorders>
              <w:top w:val="nil"/>
              <w:left w:val="nil"/>
              <w:bottom w:val="single" w:sz="4" w:space="0" w:color="auto"/>
              <w:right w:val="single" w:sz="4" w:space="0" w:color="auto"/>
            </w:tcBorders>
            <w:vAlign w:val="center"/>
            <w:hideMark/>
          </w:tcPr>
          <w:p w14:paraId="5D43BC8F"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generar el número único de documento (trámite interno y externo) correspondiente para que sirva de identificación y seguimiento (</w:t>
            </w:r>
            <w:proofErr w:type="gramStart"/>
            <w:r w:rsidRPr="00160081">
              <w:rPr>
                <w:rFonts w:cstheme="minorHAnsi"/>
                <w:color w:val="242424"/>
                <w:sz w:val="20"/>
                <w:szCs w:val="20"/>
              </w:rPr>
              <w:t>De acuerdo a</w:t>
            </w:r>
            <w:proofErr w:type="gramEnd"/>
            <w:r w:rsidRPr="00160081">
              <w:rPr>
                <w:rFonts w:cstheme="minorHAnsi"/>
                <w:color w:val="242424"/>
                <w:sz w:val="20"/>
                <w:szCs w:val="20"/>
              </w:rPr>
              <w:t xml:space="preserve"> la política institucional)</w:t>
            </w:r>
          </w:p>
        </w:tc>
        <w:tc>
          <w:tcPr>
            <w:tcW w:w="1134" w:type="dxa"/>
            <w:tcBorders>
              <w:top w:val="nil"/>
              <w:left w:val="nil"/>
              <w:bottom w:val="single" w:sz="4" w:space="0" w:color="auto"/>
              <w:right w:val="single" w:sz="4" w:space="0" w:color="auto"/>
            </w:tcBorders>
            <w:vAlign w:val="center"/>
            <w:hideMark/>
          </w:tcPr>
          <w:p w14:paraId="0AA5995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0DF834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3A89F5C" w14:textId="77777777" w:rsidTr="007A425E">
        <w:trPr>
          <w:trHeight w:val="1200"/>
        </w:trPr>
        <w:tc>
          <w:tcPr>
            <w:tcW w:w="0" w:type="auto"/>
            <w:tcBorders>
              <w:top w:val="nil"/>
              <w:left w:val="single" w:sz="4" w:space="0" w:color="auto"/>
              <w:bottom w:val="single" w:sz="4" w:space="0" w:color="auto"/>
              <w:right w:val="single" w:sz="4" w:space="0" w:color="auto"/>
            </w:tcBorders>
            <w:vAlign w:val="center"/>
            <w:hideMark/>
          </w:tcPr>
          <w:p w14:paraId="226C1D8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1.9</w:t>
            </w:r>
          </w:p>
        </w:tc>
        <w:tc>
          <w:tcPr>
            <w:tcW w:w="7019" w:type="dxa"/>
            <w:tcBorders>
              <w:top w:val="nil"/>
              <w:left w:val="nil"/>
              <w:bottom w:val="single" w:sz="4" w:space="0" w:color="auto"/>
              <w:right w:val="single" w:sz="4" w:space="0" w:color="auto"/>
            </w:tcBorders>
            <w:vAlign w:val="center"/>
            <w:hideMark/>
          </w:tcPr>
          <w:p w14:paraId="28B67DEB" w14:textId="77777777" w:rsidR="00160081" w:rsidRPr="00160081" w:rsidRDefault="00160081" w:rsidP="00BD3D91">
            <w:pPr>
              <w:rPr>
                <w:rFonts w:cstheme="minorHAnsi"/>
                <w:color w:val="242424"/>
                <w:sz w:val="20"/>
                <w:szCs w:val="20"/>
              </w:rPr>
            </w:pPr>
            <w:r w:rsidRPr="00160081">
              <w:rPr>
                <w:rFonts w:cstheme="minorHAnsi"/>
                <w:color w:val="242424"/>
                <w:sz w:val="20"/>
                <w:szCs w:val="20"/>
              </w:rPr>
              <w:t xml:space="preserve">El sistema debe permitir para una generación masiva de documentos, que en la carga manual el usuario seleccione la plantilla a utilizar y los campos requeridos se consuman de un archivo plano o </w:t>
            </w:r>
            <w:proofErr w:type="spellStart"/>
            <w:r w:rsidRPr="00160081">
              <w:rPr>
                <w:rFonts w:cstheme="minorHAnsi"/>
                <w:color w:val="242424"/>
                <w:sz w:val="20"/>
                <w:szCs w:val="20"/>
              </w:rPr>
              <w:t>excel</w:t>
            </w:r>
            <w:proofErr w:type="spellEnd"/>
            <w:r w:rsidRPr="00160081">
              <w:rPr>
                <w:rFonts w:cstheme="minorHAnsi"/>
                <w:color w:val="242424"/>
                <w:sz w:val="20"/>
                <w:szCs w:val="20"/>
              </w:rPr>
              <w:t>, generando una alerta si existiera una incompatibilidad entre la plantilla y los campos.</w:t>
            </w:r>
          </w:p>
        </w:tc>
        <w:tc>
          <w:tcPr>
            <w:tcW w:w="1134" w:type="dxa"/>
            <w:tcBorders>
              <w:top w:val="nil"/>
              <w:left w:val="nil"/>
              <w:bottom w:val="single" w:sz="4" w:space="0" w:color="auto"/>
              <w:right w:val="single" w:sz="4" w:space="0" w:color="auto"/>
            </w:tcBorders>
            <w:vAlign w:val="center"/>
            <w:hideMark/>
          </w:tcPr>
          <w:p w14:paraId="7C09761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204226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C75F9F8"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36F6736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1.10</w:t>
            </w:r>
          </w:p>
        </w:tc>
        <w:tc>
          <w:tcPr>
            <w:tcW w:w="7019" w:type="dxa"/>
            <w:tcBorders>
              <w:top w:val="nil"/>
              <w:left w:val="nil"/>
              <w:bottom w:val="single" w:sz="4" w:space="0" w:color="auto"/>
              <w:right w:val="single" w:sz="4" w:space="0" w:color="auto"/>
            </w:tcBorders>
            <w:vAlign w:val="center"/>
            <w:hideMark/>
          </w:tcPr>
          <w:p w14:paraId="27B4F362" w14:textId="77777777" w:rsidR="00160081" w:rsidRPr="00160081" w:rsidRDefault="00160081" w:rsidP="00BD3D91">
            <w:pPr>
              <w:rPr>
                <w:rFonts w:cstheme="minorHAnsi"/>
                <w:color w:val="242424"/>
                <w:sz w:val="20"/>
                <w:szCs w:val="20"/>
              </w:rPr>
            </w:pPr>
            <w:r w:rsidRPr="00160081">
              <w:rPr>
                <w:rFonts w:cstheme="minorHAnsi"/>
                <w:color w:val="242424"/>
                <w:sz w:val="20"/>
                <w:szCs w:val="20"/>
              </w:rPr>
              <w:t>Opción de impresión del documento.</w:t>
            </w:r>
          </w:p>
        </w:tc>
        <w:tc>
          <w:tcPr>
            <w:tcW w:w="1134" w:type="dxa"/>
            <w:tcBorders>
              <w:top w:val="nil"/>
              <w:left w:val="nil"/>
              <w:bottom w:val="single" w:sz="4" w:space="0" w:color="auto"/>
              <w:right w:val="single" w:sz="4" w:space="0" w:color="auto"/>
            </w:tcBorders>
            <w:vAlign w:val="center"/>
            <w:hideMark/>
          </w:tcPr>
          <w:p w14:paraId="63E9B1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745666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687D296"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350391A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1.11</w:t>
            </w:r>
          </w:p>
        </w:tc>
        <w:tc>
          <w:tcPr>
            <w:tcW w:w="7019" w:type="dxa"/>
            <w:tcBorders>
              <w:top w:val="nil"/>
              <w:left w:val="nil"/>
              <w:bottom w:val="single" w:sz="4" w:space="0" w:color="auto"/>
              <w:right w:val="single" w:sz="4" w:space="0" w:color="auto"/>
            </w:tcBorders>
            <w:vAlign w:val="center"/>
            <w:hideMark/>
          </w:tcPr>
          <w:p w14:paraId="64F7CFD1"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registrar trazabilidad: fecha, hora, usuario, plantilla utilizada y grupo documental asignado.</w:t>
            </w:r>
          </w:p>
        </w:tc>
        <w:tc>
          <w:tcPr>
            <w:tcW w:w="1134" w:type="dxa"/>
            <w:tcBorders>
              <w:top w:val="nil"/>
              <w:left w:val="nil"/>
              <w:bottom w:val="single" w:sz="4" w:space="0" w:color="auto"/>
              <w:right w:val="single" w:sz="4" w:space="0" w:color="auto"/>
            </w:tcBorders>
            <w:vAlign w:val="center"/>
            <w:hideMark/>
          </w:tcPr>
          <w:p w14:paraId="11EC737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715B32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678DE42"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33A6AD6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1.12</w:t>
            </w:r>
          </w:p>
        </w:tc>
        <w:tc>
          <w:tcPr>
            <w:tcW w:w="7019" w:type="dxa"/>
            <w:tcBorders>
              <w:top w:val="nil"/>
              <w:left w:val="nil"/>
              <w:bottom w:val="single" w:sz="4" w:space="0" w:color="auto"/>
              <w:right w:val="single" w:sz="4" w:space="0" w:color="auto"/>
            </w:tcBorders>
            <w:vAlign w:val="center"/>
            <w:hideMark/>
          </w:tcPr>
          <w:p w14:paraId="1C56BA8F"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463FC2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71AB40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9C2F7F0" w14:textId="77777777" w:rsidTr="007A425E">
        <w:trPr>
          <w:trHeight w:val="270"/>
        </w:trPr>
        <w:tc>
          <w:tcPr>
            <w:tcW w:w="0" w:type="auto"/>
            <w:tcBorders>
              <w:top w:val="nil"/>
              <w:left w:val="single" w:sz="4" w:space="0" w:color="auto"/>
              <w:bottom w:val="single" w:sz="4" w:space="0" w:color="auto"/>
              <w:right w:val="single" w:sz="4" w:space="0" w:color="auto"/>
            </w:tcBorders>
            <w:shd w:val="clear" w:color="000000" w:fill="E6E6E6"/>
            <w:vAlign w:val="center"/>
            <w:hideMark/>
          </w:tcPr>
          <w:p w14:paraId="15F37DE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w:t>
            </w:r>
          </w:p>
        </w:tc>
        <w:tc>
          <w:tcPr>
            <w:tcW w:w="7019" w:type="dxa"/>
            <w:tcBorders>
              <w:top w:val="nil"/>
              <w:left w:val="nil"/>
              <w:bottom w:val="single" w:sz="4" w:space="0" w:color="auto"/>
              <w:right w:val="single" w:sz="4" w:space="0" w:color="auto"/>
            </w:tcBorders>
            <w:shd w:val="clear" w:color="000000" w:fill="E6E6E6"/>
            <w:vAlign w:val="center"/>
            <w:hideMark/>
          </w:tcPr>
          <w:p w14:paraId="39316DA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FIRMA ELECTRÓNICA</w:t>
            </w:r>
          </w:p>
        </w:tc>
        <w:tc>
          <w:tcPr>
            <w:tcW w:w="1134" w:type="dxa"/>
            <w:tcBorders>
              <w:top w:val="nil"/>
              <w:left w:val="nil"/>
              <w:bottom w:val="single" w:sz="4" w:space="0" w:color="auto"/>
              <w:right w:val="single" w:sz="4" w:space="0" w:color="auto"/>
            </w:tcBorders>
            <w:shd w:val="clear" w:color="000000" w:fill="E6E6E6"/>
            <w:vAlign w:val="center"/>
            <w:hideMark/>
          </w:tcPr>
          <w:p w14:paraId="38490AC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000000" w:fill="E6E6E6"/>
            <w:vAlign w:val="center"/>
            <w:hideMark/>
          </w:tcPr>
          <w:p w14:paraId="652FE72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7368552B" w14:textId="77777777" w:rsidTr="007A425E">
        <w:trPr>
          <w:trHeight w:val="960"/>
        </w:trPr>
        <w:tc>
          <w:tcPr>
            <w:tcW w:w="0" w:type="auto"/>
            <w:tcBorders>
              <w:top w:val="nil"/>
              <w:left w:val="single" w:sz="4" w:space="0" w:color="auto"/>
              <w:bottom w:val="single" w:sz="4" w:space="0" w:color="auto"/>
              <w:right w:val="single" w:sz="4" w:space="0" w:color="auto"/>
            </w:tcBorders>
            <w:vAlign w:val="center"/>
            <w:hideMark/>
          </w:tcPr>
          <w:p w14:paraId="47AEA44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w:t>
            </w:r>
          </w:p>
        </w:tc>
        <w:tc>
          <w:tcPr>
            <w:tcW w:w="7019" w:type="dxa"/>
            <w:tcBorders>
              <w:top w:val="nil"/>
              <w:left w:val="nil"/>
              <w:bottom w:val="single" w:sz="4" w:space="0" w:color="auto"/>
              <w:right w:val="single" w:sz="4" w:space="0" w:color="auto"/>
            </w:tcBorders>
            <w:vAlign w:val="center"/>
            <w:hideMark/>
          </w:tcPr>
          <w:p w14:paraId="11E21064"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 tener un componente de firma electrónica de documentos, integrado con el firmador oficial regularizado por el gobierno (FIRMA EC), garantizando la validez jurídica y el cumplimiento de la normativa vigente en materia de firma digital.</w:t>
            </w:r>
          </w:p>
        </w:tc>
        <w:tc>
          <w:tcPr>
            <w:tcW w:w="1134" w:type="dxa"/>
            <w:tcBorders>
              <w:top w:val="nil"/>
              <w:left w:val="nil"/>
              <w:bottom w:val="single" w:sz="4" w:space="0" w:color="auto"/>
              <w:right w:val="single" w:sz="4" w:space="0" w:color="auto"/>
            </w:tcBorders>
            <w:vAlign w:val="center"/>
            <w:hideMark/>
          </w:tcPr>
          <w:p w14:paraId="289B8DD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729C5B5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7E1DC20"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0498408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2.2</w:t>
            </w:r>
          </w:p>
        </w:tc>
        <w:tc>
          <w:tcPr>
            <w:tcW w:w="7019" w:type="dxa"/>
            <w:tcBorders>
              <w:top w:val="nil"/>
              <w:left w:val="nil"/>
              <w:bottom w:val="single" w:sz="4" w:space="0" w:color="auto"/>
              <w:right w:val="single" w:sz="4" w:space="0" w:color="auto"/>
            </w:tcBorders>
            <w:vAlign w:val="center"/>
            <w:hideMark/>
          </w:tcPr>
          <w:p w14:paraId="5FF0D9F4" w14:textId="77777777" w:rsidR="00160081" w:rsidRPr="00160081" w:rsidRDefault="00160081" w:rsidP="00BD3D91">
            <w:pPr>
              <w:rPr>
                <w:rFonts w:cstheme="minorHAnsi"/>
                <w:color w:val="242424"/>
                <w:sz w:val="20"/>
                <w:szCs w:val="20"/>
              </w:rPr>
            </w:pPr>
            <w:r w:rsidRPr="00160081">
              <w:rPr>
                <w:rFonts w:cstheme="minorHAnsi"/>
                <w:color w:val="242424"/>
                <w:sz w:val="20"/>
                <w:szCs w:val="20"/>
              </w:rPr>
              <w:t>Permitir al usuario subir y almacenar su archivo/certificado de firma electrónica en el sistema</w:t>
            </w:r>
          </w:p>
        </w:tc>
        <w:tc>
          <w:tcPr>
            <w:tcW w:w="1134" w:type="dxa"/>
            <w:tcBorders>
              <w:top w:val="nil"/>
              <w:left w:val="nil"/>
              <w:bottom w:val="single" w:sz="4" w:space="0" w:color="auto"/>
              <w:right w:val="single" w:sz="4" w:space="0" w:color="auto"/>
            </w:tcBorders>
            <w:vAlign w:val="center"/>
            <w:hideMark/>
          </w:tcPr>
          <w:p w14:paraId="35E64E1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5F4EAA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0DB0F80" w14:textId="77777777" w:rsidTr="007A425E">
        <w:trPr>
          <w:trHeight w:val="270"/>
        </w:trPr>
        <w:tc>
          <w:tcPr>
            <w:tcW w:w="0" w:type="auto"/>
            <w:tcBorders>
              <w:top w:val="nil"/>
              <w:left w:val="single" w:sz="4" w:space="0" w:color="auto"/>
              <w:bottom w:val="single" w:sz="4" w:space="0" w:color="auto"/>
              <w:right w:val="single" w:sz="4" w:space="0" w:color="auto"/>
            </w:tcBorders>
            <w:vAlign w:val="center"/>
            <w:hideMark/>
          </w:tcPr>
          <w:p w14:paraId="5EC6A88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2.3</w:t>
            </w:r>
          </w:p>
        </w:tc>
        <w:tc>
          <w:tcPr>
            <w:tcW w:w="7019" w:type="dxa"/>
            <w:tcBorders>
              <w:top w:val="nil"/>
              <w:left w:val="nil"/>
              <w:bottom w:val="single" w:sz="4" w:space="0" w:color="auto"/>
              <w:right w:val="single" w:sz="4" w:space="0" w:color="auto"/>
            </w:tcBorders>
            <w:vAlign w:val="center"/>
            <w:hideMark/>
          </w:tcPr>
          <w:p w14:paraId="063CAC13" w14:textId="77777777" w:rsidR="00160081" w:rsidRPr="00160081" w:rsidRDefault="00160081" w:rsidP="00BD3D91">
            <w:pPr>
              <w:rPr>
                <w:rFonts w:cstheme="minorHAnsi"/>
                <w:color w:val="242424"/>
                <w:sz w:val="20"/>
                <w:szCs w:val="20"/>
              </w:rPr>
            </w:pPr>
            <w:r w:rsidRPr="00160081">
              <w:rPr>
                <w:rFonts w:cstheme="minorHAnsi"/>
                <w:color w:val="242424"/>
                <w:sz w:val="20"/>
                <w:szCs w:val="20"/>
              </w:rPr>
              <w:t>Validar la vigencia y autenticidad del certificado al momento de la carga.</w:t>
            </w:r>
          </w:p>
        </w:tc>
        <w:tc>
          <w:tcPr>
            <w:tcW w:w="1134" w:type="dxa"/>
            <w:tcBorders>
              <w:top w:val="nil"/>
              <w:left w:val="nil"/>
              <w:bottom w:val="single" w:sz="4" w:space="0" w:color="auto"/>
              <w:right w:val="single" w:sz="4" w:space="0" w:color="auto"/>
            </w:tcBorders>
            <w:vAlign w:val="center"/>
            <w:hideMark/>
          </w:tcPr>
          <w:p w14:paraId="60A204A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298896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ED9A69D" w14:textId="77777777" w:rsidTr="007A425E">
        <w:trPr>
          <w:trHeight w:val="720"/>
        </w:trPr>
        <w:tc>
          <w:tcPr>
            <w:tcW w:w="0" w:type="auto"/>
            <w:tcBorders>
              <w:top w:val="nil"/>
              <w:left w:val="single" w:sz="4" w:space="0" w:color="auto"/>
              <w:bottom w:val="single" w:sz="4" w:space="0" w:color="auto"/>
              <w:right w:val="single" w:sz="4" w:space="0" w:color="auto"/>
            </w:tcBorders>
            <w:vAlign w:val="center"/>
            <w:hideMark/>
          </w:tcPr>
          <w:p w14:paraId="1EEE835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2.4</w:t>
            </w:r>
          </w:p>
        </w:tc>
        <w:tc>
          <w:tcPr>
            <w:tcW w:w="7019" w:type="dxa"/>
            <w:tcBorders>
              <w:top w:val="nil"/>
              <w:left w:val="nil"/>
              <w:bottom w:val="single" w:sz="4" w:space="0" w:color="auto"/>
              <w:right w:val="single" w:sz="4" w:space="0" w:color="auto"/>
            </w:tcBorders>
            <w:vAlign w:val="center"/>
            <w:hideMark/>
          </w:tcPr>
          <w:p w14:paraId="3F321C97" w14:textId="77777777" w:rsidR="00160081" w:rsidRPr="00160081" w:rsidRDefault="00160081" w:rsidP="00BD3D91">
            <w:pPr>
              <w:rPr>
                <w:rFonts w:cstheme="minorHAnsi"/>
                <w:color w:val="242424"/>
                <w:sz w:val="20"/>
                <w:szCs w:val="20"/>
              </w:rPr>
            </w:pPr>
            <w:r w:rsidRPr="00160081">
              <w:rPr>
                <w:rFonts w:cstheme="minorHAnsi"/>
                <w:color w:val="242424"/>
                <w:sz w:val="20"/>
                <w:szCs w:val="20"/>
              </w:rPr>
              <w:t>Permitir que los documentos generados por el generador de documentos puedan ser firmados electrónicamente sin necesidad de procesos manuales externos</w:t>
            </w:r>
          </w:p>
        </w:tc>
        <w:tc>
          <w:tcPr>
            <w:tcW w:w="1134" w:type="dxa"/>
            <w:tcBorders>
              <w:top w:val="nil"/>
              <w:left w:val="nil"/>
              <w:bottom w:val="single" w:sz="4" w:space="0" w:color="auto"/>
              <w:right w:val="single" w:sz="4" w:space="0" w:color="auto"/>
            </w:tcBorders>
            <w:vAlign w:val="center"/>
            <w:hideMark/>
          </w:tcPr>
          <w:p w14:paraId="007FA1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3B58F5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2823014"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5ED9B9B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2.5</w:t>
            </w:r>
          </w:p>
        </w:tc>
        <w:tc>
          <w:tcPr>
            <w:tcW w:w="7019" w:type="dxa"/>
            <w:tcBorders>
              <w:top w:val="nil"/>
              <w:left w:val="nil"/>
              <w:bottom w:val="single" w:sz="4" w:space="0" w:color="auto"/>
              <w:right w:val="single" w:sz="4" w:space="0" w:color="auto"/>
            </w:tcBorders>
            <w:vAlign w:val="center"/>
            <w:hideMark/>
          </w:tcPr>
          <w:p w14:paraId="61B7664B" w14:textId="77777777" w:rsidR="00160081" w:rsidRPr="00160081" w:rsidRDefault="00160081" w:rsidP="00BD3D91">
            <w:pPr>
              <w:rPr>
                <w:rFonts w:cstheme="minorHAnsi"/>
                <w:color w:val="242424"/>
                <w:sz w:val="20"/>
                <w:szCs w:val="20"/>
              </w:rPr>
            </w:pPr>
            <w:r w:rsidRPr="00160081">
              <w:rPr>
                <w:rFonts w:cstheme="minorHAnsi"/>
                <w:color w:val="242424"/>
                <w:sz w:val="20"/>
                <w:szCs w:val="20"/>
              </w:rPr>
              <w:t>Garantizar que los documentos firmados se integren automáticamente al expediente del trámite correspondiente.</w:t>
            </w:r>
          </w:p>
        </w:tc>
        <w:tc>
          <w:tcPr>
            <w:tcW w:w="1134" w:type="dxa"/>
            <w:tcBorders>
              <w:top w:val="nil"/>
              <w:left w:val="nil"/>
              <w:bottom w:val="single" w:sz="4" w:space="0" w:color="auto"/>
              <w:right w:val="single" w:sz="4" w:space="0" w:color="auto"/>
            </w:tcBorders>
            <w:vAlign w:val="center"/>
            <w:hideMark/>
          </w:tcPr>
          <w:p w14:paraId="53DC34E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1E6136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95C88FD" w14:textId="77777777" w:rsidTr="007A425E">
        <w:trPr>
          <w:trHeight w:val="1200"/>
        </w:trPr>
        <w:tc>
          <w:tcPr>
            <w:tcW w:w="0" w:type="auto"/>
            <w:tcBorders>
              <w:top w:val="nil"/>
              <w:left w:val="single" w:sz="4" w:space="0" w:color="auto"/>
              <w:bottom w:val="single" w:sz="4" w:space="0" w:color="auto"/>
              <w:right w:val="single" w:sz="4" w:space="0" w:color="auto"/>
            </w:tcBorders>
            <w:vAlign w:val="center"/>
            <w:hideMark/>
          </w:tcPr>
          <w:p w14:paraId="477B3FD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2.6</w:t>
            </w:r>
          </w:p>
        </w:tc>
        <w:tc>
          <w:tcPr>
            <w:tcW w:w="7019" w:type="dxa"/>
            <w:tcBorders>
              <w:top w:val="nil"/>
              <w:left w:val="nil"/>
              <w:bottom w:val="single" w:sz="4" w:space="0" w:color="auto"/>
              <w:right w:val="single" w:sz="4" w:space="0" w:color="auto"/>
            </w:tcBorders>
            <w:vAlign w:val="center"/>
            <w:hideMark/>
          </w:tcPr>
          <w:p w14:paraId="5E4BF284"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contar con una funcionalidad de firmador de documentos masivos, que permita aplicar firma electrónica a múltiples documentos en una sola operación, utilizando un certificador de firma autorizado cuya validez pueda ser comprobada en la plataforma oficial FIRMA EC.</w:t>
            </w:r>
          </w:p>
        </w:tc>
        <w:tc>
          <w:tcPr>
            <w:tcW w:w="1134" w:type="dxa"/>
            <w:tcBorders>
              <w:top w:val="nil"/>
              <w:left w:val="nil"/>
              <w:bottom w:val="single" w:sz="4" w:space="0" w:color="auto"/>
              <w:right w:val="single" w:sz="4" w:space="0" w:color="auto"/>
            </w:tcBorders>
            <w:vAlign w:val="center"/>
            <w:hideMark/>
          </w:tcPr>
          <w:p w14:paraId="22A397A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78FCE7F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C4BDB46"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0E000EA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2.7</w:t>
            </w:r>
          </w:p>
        </w:tc>
        <w:tc>
          <w:tcPr>
            <w:tcW w:w="7019" w:type="dxa"/>
            <w:tcBorders>
              <w:top w:val="nil"/>
              <w:left w:val="nil"/>
              <w:bottom w:val="single" w:sz="4" w:space="0" w:color="auto"/>
              <w:right w:val="single" w:sz="4" w:space="0" w:color="auto"/>
            </w:tcBorders>
            <w:vAlign w:val="center"/>
            <w:hideMark/>
          </w:tcPr>
          <w:p w14:paraId="333FE89A" w14:textId="77777777" w:rsidR="00160081" w:rsidRPr="00160081" w:rsidRDefault="00160081" w:rsidP="00BD3D91">
            <w:pPr>
              <w:rPr>
                <w:rFonts w:cstheme="minorHAnsi"/>
                <w:color w:val="242424"/>
                <w:sz w:val="20"/>
                <w:szCs w:val="20"/>
              </w:rPr>
            </w:pPr>
            <w:r w:rsidRPr="00160081">
              <w:rPr>
                <w:rFonts w:cstheme="minorHAnsi"/>
                <w:color w:val="242424"/>
                <w:sz w:val="20"/>
                <w:szCs w:val="20"/>
              </w:rPr>
              <w:t>Los documentos firmados deben integrarse con el sistema de Notificaciones del SRI</w:t>
            </w:r>
          </w:p>
        </w:tc>
        <w:tc>
          <w:tcPr>
            <w:tcW w:w="1134" w:type="dxa"/>
            <w:tcBorders>
              <w:top w:val="nil"/>
              <w:left w:val="nil"/>
              <w:bottom w:val="single" w:sz="4" w:space="0" w:color="auto"/>
              <w:right w:val="single" w:sz="4" w:space="0" w:color="auto"/>
            </w:tcBorders>
            <w:vAlign w:val="center"/>
            <w:hideMark/>
          </w:tcPr>
          <w:p w14:paraId="35CB290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DF287A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CE4695F" w14:textId="77777777" w:rsidTr="007A425E">
        <w:trPr>
          <w:trHeight w:val="480"/>
        </w:trPr>
        <w:tc>
          <w:tcPr>
            <w:tcW w:w="0" w:type="auto"/>
            <w:tcBorders>
              <w:top w:val="nil"/>
              <w:left w:val="single" w:sz="4" w:space="0" w:color="auto"/>
              <w:bottom w:val="single" w:sz="4" w:space="0" w:color="auto"/>
              <w:right w:val="single" w:sz="4" w:space="0" w:color="auto"/>
            </w:tcBorders>
            <w:vAlign w:val="center"/>
            <w:hideMark/>
          </w:tcPr>
          <w:p w14:paraId="35280E0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2.8</w:t>
            </w:r>
          </w:p>
        </w:tc>
        <w:tc>
          <w:tcPr>
            <w:tcW w:w="7019" w:type="dxa"/>
            <w:tcBorders>
              <w:top w:val="nil"/>
              <w:left w:val="nil"/>
              <w:bottom w:val="single" w:sz="4" w:space="0" w:color="auto"/>
              <w:right w:val="single" w:sz="4" w:space="0" w:color="auto"/>
            </w:tcBorders>
            <w:vAlign w:val="center"/>
            <w:hideMark/>
          </w:tcPr>
          <w:p w14:paraId="5CB01237"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69B7ADB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4690D26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bl>
    <w:p w14:paraId="21AB44F2" w14:textId="77777777" w:rsidR="00160081" w:rsidRPr="00160081" w:rsidRDefault="00160081" w:rsidP="00160081">
      <w:pPr>
        <w:ind w:left="720"/>
        <w:rPr>
          <w:rFonts w:cstheme="minorHAnsi"/>
          <w:sz w:val="20"/>
          <w:szCs w:val="20"/>
        </w:rPr>
      </w:pPr>
    </w:p>
    <w:p w14:paraId="5D728A8B" w14:textId="77777777" w:rsidR="00160081" w:rsidRPr="00160081" w:rsidRDefault="00160081" w:rsidP="00160081">
      <w:pPr>
        <w:suppressAutoHyphens/>
        <w:ind w:left="720"/>
        <w:jc w:val="both"/>
        <w:rPr>
          <w:rFonts w:cstheme="minorHAnsi"/>
          <w:b/>
          <w:bCs/>
          <w:sz w:val="20"/>
          <w:szCs w:val="20"/>
        </w:rPr>
      </w:pPr>
      <w:r w:rsidRPr="00160081">
        <w:rPr>
          <w:rFonts w:cstheme="minorHAnsi"/>
          <w:b/>
          <w:bCs/>
          <w:sz w:val="20"/>
          <w:szCs w:val="20"/>
        </w:rPr>
        <w:t xml:space="preserve">6.1.4 Componentes Genéricos Transversales </w:t>
      </w:r>
    </w:p>
    <w:tbl>
      <w:tblPr>
        <w:tblW w:w="10207" w:type="dxa"/>
        <w:tblInd w:w="-856" w:type="dxa"/>
        <w:tblCellMar>
          <w:left w:w="70" w:type="dxa"/>
          <w:right w:w="70" w:type="dxa"/>
        </w:tblCellMar>
        <w:tblLook w:val="04A0" w:firstRow="1" w:lastRow="0" w:firstColumn="1" w:lastColumn="0" w:noHBand="0" w:noVBand="1"/>
      </w:tblPr>
      <w:tblGrid>
        <w:gridCol w:w="433"/>
        <w:gridCol w:w="7081"/>
        <w:gridCol w:w="1134"/>
        <w:gridCol w:w="1559"/>
      </w:tblGrid>
      <w:tr w:rsidR="00160081" w:rsidRPr="00160081" w14:paraId="132347F3" w14:textId="77777777" w:rsidTr="007A425E">
        <w:trPr>
          <w:trHeight w:val="20"/>
          <w:tblHeader/>
        </w:trPr>
        <w:tc>
          <w:tcPr>
            <w:tcW w:w="0" w:type="auto"/>
            <w:tcBorders>
              <w:top w:val="single" w:sz="4" w:space="0" w:color="auto"/>
              <w:left w:val="single" w:sz="4" w:space="0" w:color="auto"/>
              <w:bottom w:val="single" w:sz="4" w:space="0" w:color="auto"/>
              <w:right w:val="single" w:sz="4" w:space="0" w:color="auto"/>
            </w:tcBorders>
            <w:shd w:val="clear" w:color="A6C9EB" w:fill="A6C9EB"/>
            <w:vAlign w:val="center"/>
            <w:hideMark/>
          </w:tcPr>
          <w:p w14:paraId="5AACA86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w:t>
            </w:r>
          </w:p>
        </w:tc>
        <w:tc>
          <w:tcPr>
            <w:tcW w:w="7081" w:type="dxa"/>
            <w:tcBorders>
              <w:top w:val="single" w:sz="4" w:space="0" w:color="auto"/>
              <w:left w:val="nil"/>
              <w:bottom w:val="single" w:sz="4" w:space="0" w:color="auto"/>
              <w:right w:val="single" w:sz="4" w:space="0" w:color="auto"/>
            </w:tcBorders>
            <w:shd w:val="clear" w:color="A6C9EB" w:fill="A6C9EB"/>
            <w:vAlign w:val="center"/>
            <w:hideMark/>
          </w:tcPr>
          <w:p w14:paraId="2CC5735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c>
          <w:tcPr>
            <w:tcW w:w="2693" w:type="dxa"/>
            <w:gridSpan w:val="2"/>
            <w:tcBorders>
              <w:top w:val="single" w:sz="4" w:space="0" w:color="auto"/>
              <w:left w:val="nil"/>
              <w:bottom w:val="single" w:sz="4" w:space="0" w:color="auto"/>
              <w:right w:val="single" w:sz="4" w:space="0" w:color="000000"/>
            </w:tcBorders>
            <w:shd w:val="clear" w:color="A6C9EB" w:fill="A6C9EB"/>
            <w:vAlign w:val="center"/>
            <w:hideMark/>
          </w:tcPr>
          <w:p w14:paraId="2DE707C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w:t>
            </w:r>
          </w:p>
        </w:tc>
      </w:tr>
      <w:tr w:rsidR="00160081" w:rsidRPr="00160081" w14:paraId="060F8DD6"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4B8BEE2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w:t>
            </w:r>
          </w:p>
        </w:tc>
        <w:tc>
          <w:tcPr>
            <w:tcW w:w="7081" w:type="dxa"/>
            <w:tcBorders>
              <w:top w:val="nil"/>
              <w:left w:val="nil"/>
              <w:bottom w:val="single" w:sz="4" w:space="0" w:color="auto"/>
              <w:right w:val="single" w:sz="4" w:space="0" w:color="auto"/>
            </w:tcBorders>
            <w:shd w:val="clear" w:color="DBE9F7" w:fill="DBE9F7"/>
            <w:vAlign w:val="center"/>
            <w:hideMark/>
          </w:tcPr>
          <w:p w14:paraId="523BFC7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ALERTAS Y AVISOS</w:t>
            </w:r>
          </w:p>
        </w:tc>
        <w:tc>
          <w:tcPr>
            <w:tcW w:w="1134" w:type="dxa"/>
            <w:tcBorders>
              <w:top w:val="nil"/>
              <w:left w:val="nil"/>
              <w:bottom w:val="single" w:sz="4" w:space="0" w:color="auto"/>
              <w:right w:val="single" w:sz="4" w:space="0" w:color="auto"/>
            </w:tcBorders>
            <w:shd w:val="clear" w:color="DBE9F7" w:fill="DBE9F7"/>
            <w:vAlign w:val="center"/>
            <w:hideMark/>
          </w:tcPr>
          <w:p w14:paraId="6251918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DBE9F7" w:fill="DBE9F7"/>
            <w:vAlign w:val="center"/>
            <w:hideMark/>
          </w:tcPr>
          <w:p w14:paraId="6E491DF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4A1EEC83"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DC0FD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1.1</w:t>
            </w:r>
          </w:p>
        </w:tc>
        <w:tc>
          <w:tcPr>
            <w:tcW w:w="7081" w:type="dxa"/>
            <w:tcBorders>
              <w:top w:val="nil"/>
              <w:left w:val="nil"/>
              <w:bottom w:val="single" w:sz="4" w:space="0" w:color="auto"/>
              <w:right w:val="single" w:sz="4" w:space="0" w:color="auto"/>
            </w:tcBorders>
            <w:vAlign w:val="center"/>
            <w:hideMark/>
          </w:tcPr>
          <w:p w14:paraId="0FB77E17" w14:textId="77777777" w:rsidR="00160081" w:rsidRPr="00160081" w:rsidRDefault="00160081" w:rsidP="00BD3D91">
            <w:pPr>
              <w:rPr>
                <w:rFonts w:cstheme="minorHAnsi"/>
                <w:color w:val="242424"/>
                <w:sz w:val="20"/>
                <w:szCs w:val="20"/>
              </w:rPr>
            </w:pPr>
            <w:r w:rsidRPr="00160081">
              <w:rPr>
                <w:rFonts w:cstheme="minorHAnsi"/>
                <w:color w:val="242424"/>
                <w:sz w:val="20"/>
                <w:szCs w:val="20"/>
              </w:rPr>
              <w:t>Módulo de creación y administración de plantillas de mensajes reutilizables.</w:t>
            </w:r>
          </w:p>
        </w:tc>
        <w:tc>
          <w:tcPr>
            <w:tcW w:w="1134" w:type="dxa"/>
            <w:tcBorders>
              <w:top w:val="nil"/>
              <w:left w:val="nil"/>
              <w:bottom w:val="single" w:sz="4" w:space="0" w:color="auto"/>
              <w:right w:val="single" w:sz="4" w:space="0" w:color="auto"/>
            </w:tcBorders>
            <w:vAlign w:val="center"/>
            <w:hideMark/>
          </w:tcPr>
          <w:p w14:paraId="0D6CE09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4F0EF7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CF6EE6A"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F64405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1.2</w:t>
            </w:r>
          </w:p>
        </w:tc>
        <w:tc>
          <w:tcPr>
            <w:tcW w:w="7081" w:type="dxa"/>
            <w:tcBorders>
              <w:top w:val="nil"/>
              <w:left w:val="nil"/>
              <w:bottom w:val="single" w:sz="4" w:space="0" w:color="auto"/>
              <w:right w:val="single" w:sz="4" w:space="0" w:color="auto"/>
            </w:tcBorders>
            <w:vAlign w:val="center"/>
            <w:hideMark/>
          </w:tcPr>
          <w:p w14:paraId="6405593E" w14:textId="77777777" w:rsidR="00160081" w:rsidRPr="00160081" w:rsidRDefault="00160081" w:rsidP="00BD3D91">
            <w:pPr>
              <w:rPr>
                <w:rFonts w:cstheme="minorHAnsi"/>
                <w:color w:val="242424"/>
                <w:sz w:val="20"/>
                <w:szCs w:val="20"/>
              </w:rPr>
            </w:pPr>
            <w:r w:rsidRPr="00160081">
              <w:rPr>
                <w:rFonts w:cstheme="minorHAnsi"/>
                <w:color w:val="242424"/>
                <w:sz w:val="20"/>
                <w:szCs w:val="20"/>
              </w:rPr>
              <w:t>Configuración de canales de envío: correo electrónico, SMS y buzón interno del sistema.</w:t>
            </w:r>
          </w:p>
        </w:tc>
        <w:tc>
          <w:tcPr>
            <w:tcW w:w="1134" w:type="dxa"/>
            <w:tcBorders>
              <w:top w:val="nil"/>
              <w:left w:val="nil"/>
              <w:bottom w:val="single" w:sz="4" w:space="0" w:color="auto"/>
              <w:right w:val="single" w:sz="4" w:space="0" w:color="auto"/>
            </w:tcBorders>
            <w:vAlign w:val="center"/>
            <w:hideMark/>
          </w:tcPr>
          <w:p w14:paraId="3C3D81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1E9388E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05CC1F6"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482527B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1.3</w:t>
            </w:r>
          </w:p>
        </w:tc>
        <w:tc>
          <w:tcPr>
            <w:tcW w:w="7081" w:type="dxa"/>
            <w:tcBorders>
              <w:top w:val="nil"/>
              <w:left w:val="nil"/>
              <w:bottom w:val="single" w:sz="4" w:space="0" w:color="auto"/>
              <w:right w:val="single" w:sz="4" w:space="0" w:color="auto"/>
            </w:tcBorders>
            <w:vAlign w:val="center"/>
            <w:hideMark/>
          </w:tcPr>
          <w:p w14:paraId="5471245E"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componente deberá obtener información del contacto de los sistemas internos del SRI</w:t>
            </w:r>
          </w:p>
        </w:tc>
        <w:tc>
          <w:tcPr>
            <w:tcW w:w="1134" w:type="dxa"/>
            <w:tcBorders>
              <w:top w:val="nil"/>
              <w:left w:val="nil"/>
              <w:bottom w:val="single" w:sz="4" w:space="0" w:color="auto"/>
              <w:right w:val="single" w:sz="4" w:space="0" w:color="auto"/>
            </w:tcBorders>
            <w:vAlign w:val="center"/>
            <w:hideMark/>
          </w:tcPr>
          <w:p w14:paraId="138D0D4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543428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7D456A0"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189D0B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1.4</w:t>
            </w:r>
          </w:p>
        </w:tc>
        <w:tc>
          <w:tcPr>
            <w:tcW w:w="7081" w:type="dxa"/>
            <w:tcBorders>
              <w:top w:val="nil"/>
              <w:left w:val="nil"/>
              <w:bottom w:val="single" w:sz="4" w:space="0" w:color="auto"/>
              <w:right w:val="single" w:sz="4" w:space="0" w:color="auto"/>
            </w:tcBorders>
            <w:vAlign w:val="center"/>
            <w:hideMark/>
          </w:tcPr>
          <w:p w14:paraId="3F17AD01" w14:textId="77777777" w:rsidR="00160081" w:rsidRPr="00160081" w:rsidRDefault="00160081" w:rsidP="00BD3D91">
            <w:pPr>
              <w:rPr>
                <w:rFonts w:cstheme="minorHAnsi"/>
                <w:color w:val="242424"/>
                <w:sz w:val="20"/>
                <w:szCs w:val="20"/>
              </w:rPr>
            </w:pPr>
            <w:r w:rsidRPr="00160081">
              <w:rPr>
                <w:rFonts w:cstheme="minorHAnsi"/>
                <w:color w:val="242424"/>
                <w:sz w:val="20"/>
                <w:szCs w:val="20"/>
              </w:rPr>
              <w:t xml:space="preserve">Envío de los mensajes </w:t>
            </w:r>
            <w:proofErr w:type="gramStart"/>
            <w:r w:rsidRPr="00160081">
              <w:rPr>
                <w:rFonts w:cstheme="minorHAnsi"/>
                <w:color w:val="242424"/>
                <w:sz w:val="20"/>
                <w:szCs w:val="20"/>
              </w:rPr>
              <w:t>de acuerdo a</w:t>
            </w:r>
            <w:proofErr w:type="gramEnd"/>
            <w:r w:rsidRPr="00160081">
              <w:rPr>
                <w:rFonts w:cstheme="minorHAnsi"/>
                <w:color w:val="242424"/>
                <w:sz w:val="20"/>
                <w:szCs w:val="20"/>
              </w:rPr>
              <w:t xml:space="preserve"> la parametrización realizada</w:t>
            </w:r>
          </w:p>
        </w:tc>
        <w:tc>
          <w:tcPr>
            <w:tcW w:w="1134" w:type="dxa"/>
            <w:tcBorders>
              <w:top w:val="nil"/>
              <w:left w:val="nil"/>
              <w:bottom w:val="single" w:sz="4" w:space="0" w:color="auto"/>
              <w:right w:val="single" w:sz="4" w:space="0" w:color="auto"/>
            </w:tcBorders>
            <w:vAlign w:val="center"/>
            <w:hideMark/>
          </w:tcPr>
          <w:p w14:paraId="0A54DAA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74540F1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6216E035"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080C0D7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1.5</w:t>
            </w:r>
          </w:p>
        </w:tc>
        <w:tc>
          <w:tcPr>
            <w:tcW w:w="7081" w:type="dxa"/>
            <w:tcBorders>
              <w:top w:val="nil"/>
              <w:left w:val="nil"/>
              <w:bottom w:val="single" w:sz="4" w:space="0" w:color="auto"/>
              <w:right w:val="single" w:sz="4" w:space="0" w:color="auto"/>
            </w:tcBorders>
            <w:vAlign w:val="center"/>
            <w:hideMark/>
          </w:tcPr>
          <w:p w14:paraId="516D8A29"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725A315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0924C14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1D06D5C2"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22A44C4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w:t>
            </w:r>
          </w:p>
        </w:tc>
        <w:tc>
          <w:tcPr>
            <w:tcW w:w="7081" w:type="dxa"/>
            <w:tcBorders>
              <w:top w:val="nil"/>
              <w:left w:val="nil"/>
              <w:bottom w:val="single" w:sz="4" w:space="0" w:color="auto"/>
              <w:right w:val="single" w:sz="4" w:space="0" w:color="auto"/>
            </w:tcBorders>
            <w:shd w:val="clear" w:color="DBE9F7" w:fill="DBE9F7"/>
            <w:vAlign w:val="center"/>
            <w:hideMark/>
          </w:tcPr>
          <w:p w14:paraId="140F701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GRUPOS DE TRABAJO</w:t>
            </w:r>
          </w:p>
        </w:tc>
        <w:tc>
          <w:tcPr>
            <w:tcW w:w="1134" w:type="dxa"/>
            <w:tcBorders>
              <w:top w:val="nil"/>
              <w:left w:val="nil"/>
              <w:bottom w:val="single" w:sz="4" w:space="0" w:color="auto"/>
              <w:right w:val="single" w:sz="4" w:space="0" w:color="auto"/>
            </w:tcBorders>
            <w:shd w:val="clear" w:color="DBE9F7" w:fill="DBE9F7"/>
            <w:vAlign w:val="center"/>
            <w:hideMark/>
          </w:tcPr>
          <w:p w14:paraId="2F4C584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DBE9F7" w:fill="DBE9F7"/>
            <w:vAlign w:val="center"/>
            <w:hideMark/>
          </w:tcPr>
          <w:p w14:paraId="1EE39CE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234355E0"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A4341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2.1</w:t>
            </w:r>
          </w:p>
        </w:tc>
        <w:tc>
          <w:tcPr>
            <w:tcW w:w="7081" w:type="dxa"/>
            <w:tcBorders>
              <w:top w:val="nil"/>
              <w:left w:val="nil"/>
              <w:bottom w:val="single" w:sz="4" w:space="0" w:color="auto"/>
              <w:right w:val="single" w:sz="4" w:space="0" w:color="auto"/>
            </w:tcBorders>
            <w:vAlign w:val="center"/>
            <w:hideMark/>
          </w:tcPr>
          <w:p w14:paraId="713F4203" w14:textId="77777777" w:rsidR="00160081" w:rsidRPr="00160081" w:rsidRDefault="00160081" w:rsidP="00BD3D91">
            <w:pPr>
              <w:rPr>
                <w:rFonts w:cstheme="minorHAnsi"/>
                <w:color w:val="242424"/>
                <w:sz w:val="20"/>
                <w:szCs w:val="20"/>
              </w:rPr>
            </w:pPr>
            <w:r w:rsidRPr="00160081">
              <w:rPr>
                <w:rFonts w:cstheme="minorHAnsi"/>
                <w:color w:val="242424"/>
                <w:sz w:val="20"/>
                <w:szCs w:val="20"/>
              </w:rPr>
              <w:t>Módulo de administración que permita crear, editar y eliminar grupos de trabajo de la suite.</w:t>
            </w:r>
          </w:p>
        </w:tc>
        <w:tc>
          <w:tcPr>
            <w:tcW w:w="1134" w:type="dxa"/>
            <w:tcBorders>
              <w:top w:val="nil"/>
              <w:left w:val="nil"/>
              <w:bottom w:val="single" w:sz="4" w:space="0" w:color="auto"/>
              <w:right w:val="single" w:sz="4" w:space="0" w:color="auto"/>
            </w:tcBorders>
            <w:vAlign w:val="center"/>
            <w:hideMark/>
          </w:tcPr>
          <w:p w14:paraId="22D45B5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47BFC70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07F9EC2C"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9422F4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2.2</w:t>
            </w:r>
          </w:p>
        </w:tc>
        <w:tc>
          <w:tcPr>
            <w:tcW w:w="7081" w:type="dxa"/>
            <w:tcBorders>
              <w:top w:val="nil"/>
              <w:left w:val="nil"/>
              <w:bottom w:val="single" w:sz="4" w:space="0" w:color="auto"/>
              <w:right w:val="single" w:sz="4" w:space="0" w:color="auto"/>
            </w:tcBorders>
            <w:vAlign w:val="center"/>
            <w:hideMark/>
          </w:tcPr>
          <w:p w14:paraId="2B1D1D93" w14:textId="77777777" w:rsidR="00160081" w:rsidRPr="00160081" w:rsidRDefault="00160081" w:rsidP="00BD3D91">
            <w:pPr>
              <w:rPr>
                <w:rFonts w:cstheme="minorHAnsi"/>
                <w:color w:val="242424"/>
                <w:sz w:val="20"/>
                <w:szCs w:val="20"/>
              </w:rPr>
            </w:pPr>
            <w:r w:rsidRPr="00160081">
              <w:rPr>
                <w:rFonts w:cstheme="minorHAnsi"/>
                <w:color w:val="242424"/>
                <w:sz w:val="20"/>
                <w:szCs w:val="20"/>
              </w:rPr>
              <w:t>Asociar grupos a tipos de trámites.</w:t>
            </w:r>
          </w:p>
        </w:tc>
        <w:tc>
          <w:tcPr>
            <w:tcW w:w="1134" w:type="dxa"/>
            <w:tcBorders>
              <w:top w:val="nil"/>
              <w:left w:val="nil"/>
              <w:bottom w:val="single" w:sz="4" w:space="0" w:color="auto"/>
              <w:right w:val="single" w:sz="4" w:space="0" w:color="auto"/>
            </w:tcBorders>
            <w:vAlign w:val="center"/>
            <w:hideMark/>
          </w:tcPr>
          <w:p w14:paraId="1704554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1C47C26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0DF0E407"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9E6060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2.3</w:t>
            </w:r>
          </w:p>
        </w:tc>
        <w:tc>
          <w:tcPr>
            <w:tcW w:w="7081" w:type="dxa"/>
            <w:tcBorders>
              <w:top w:val="nil"/>
              <w:left w:val="nil"/>
              <w:bottom w:val="single" w:sz="4" w:space="0" w:color="auto"/>
              <w:right w:val="single" w:sz="4" w:space="0" w:color="auto"/>
            </w:tcBorders>
            <w:vAlign w:val="center"/>
            <w:hideMark/>
          </w:tcPr>
          <w:p w14:paraId="28826DFF" w14:textId="77777777" w:rsidR="00160081" w:rsidRPr="00160081" w:rsidRDefault="00160081" w:rsidP="00BD3D91">
            <w:pPr>
              <w:rPr>
                <w:rFonts w:cstheme="minorHAnsi"/>
                <w:color w:val="242424"/>
                <w:sz w:val="20"/>
                <w:szCs w:val="20"/>
              </w:rPr>
            </w:pPr>
            <w:r w:rsidRPr="00160081">
              <w:rPr>
                <w:rFonts w:cstheme="minorHAnsi"/>
                <w:color w:val="242424"/>
                <w:sz w:val="20"/>
                <w:szCs w:val="20"/>
              </w:rPr>
              <w:t xml:space="preserve">Configurar reglas de asignación: Por </w:t>
            </w:r>
            <w:proofErr w:type="gramStart"/>
            <w:r w:rsidRPr="00160081">
              <w:rPr>
                <w:rFonts w:cstheme="minorHAnsi"/>
                <w:color w:val="242424"/>
                <w:sz w:val="20"/>
                <w:szCs w:val="20"/>
              </w:rPr>
              <w:t>ejemplo</w:t>
            </w:r>
            <w:proofErr w:type="gramEnd"/>
            <w:r w:rsidRPr="00160081">
              <w:rPr>
                <w:rFonts w:cstheme="minorHAnsi"/>
                <w:color w:val="242424"/>
                <w:sz w:val="20"/>
                <w:szCs w:val="20"/>
              </w:rPr>
              <w:t xml:space="preserve"> aleatoria, por carga, por </w:t>
            </w:r>
            <w:proofErr w:type="spellStart"/>
            <w:r w:rsidRPr="00160081">
              <w:rPr>
                <w:rFonts w:cstheme="minorHAnsi"/>
                <w:color w:val="242424"/>
                <w:sz w:val="20"/>
                <w:szCs w:val="20"/>
              </w:rPr>
              <w:t>expertiz</w:t>
            </w:r>
            <w:proofErr w:type="spellEnd"/>
            <w:r w:rsidRPr="00160081">
              <w:rPr>
                <w:rFonts w:cstheme="minorHAnsi"/>
                <w:color w:val="242424"/>
                <w:sz w:val="20"/>
                <w:szCs w:val="20"/>
              </w:rPr>
              <w:t>.</w:t>
            </w:r>
          </w:p>
        </w:tc>
        <w:tc>
          <w:tcPr>
            <w:tcW w:w="1134" w:type="dxa"/>
            <w:tcBorders>
              <w:top w:val="nil"/>
              <w:left w:val="nil"/>
              <w:bottom w:val="single" w:sz="4" w:space="0" w:color="auto"/>
              <w:right w:val="single" w:sz="4" w:space="0" w:color="auto"/>
            </w:tcBorders>
            <w:vAlign w:val="center"/>
            <w:hideMark/>
          </w:tcPr>
          <w:p w14:paraId="2EC2AA9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7D179D0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4BACB00B"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D688E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2.4</w:t>
            </w:r>
          </w:p>
        </w:tc>
        <w:tc>
          <w:tcPr>
            <w:tcW w:w="7081" w:type="dxa"/>
            <w:tcBorders>
              <w:top w:val="nil"/>
              <w:left w:val="nil"/>
              <w:bottom w:val="single" w:sz="4" w:space="0" w:color="auto"/>
              <w:right w:val="single" w:sz="4" w:space="0" w:color="auto"/>
            </w:tcBorders>
            <w:vAlign w:val="center"/>
            <w:hideMark/>
          </w:tcPr>
          <w:p w14:paraId="5F1D5FD5" w14:textId="77777777" w:rsidR="00160081" w:rsidRPr="00160081" w:rsidRDefault="00160081" w:rsidP="00BD3D91">
            <w:pPr>
              <w:rPr>
                <w:rFonts w:cstheme="minorHAnsi"/>
                <w:color w:val="242424"/>
                <w:sz w:val="20"/>
                <w:szCs w:val="20"/>
              </w:rPr>
            </w:pPr>
            <w:r w:rsidRPr="00160081">
              <w:rPr>
                <w:rFonts w:cstheme="minorHAnsi"/>
                <w:color w:val="242424"/>
                <w:sz w:val="20"/>
                <w:szCs w:val="20"/>
              </w:rPr>
              <w:t>Reglas de asignación y reasignación de tareas</w:t>
            </w:r>
          </w:p>
        </w:tc>
        <w:tc>
          <w:tcPr>
            <w:tcW w:w="1134" w:type="dxa"/>
            <w:tcBorders>
              <w:top w:val="nil"/>
              <w:left w:val="nil"/>
              <w:bottom w:val="single" w:sz="4" w:space="0" w:color="auto"/>
              <w:right w:val="single" w:sz="4" w:space="0" w:color="auto"/>
            </w:tcBorders>
            <w:vAlign w:val="center"/>
            <w:hideMark/>
          </w:tcPr>
          <w:p w14:paraId="04F25EB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127B73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107806EF"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AEA618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2.5</w:t>
            </w:r>
          </w:p>
        </w:tc>
        <w:tc>
          <w:tcPr>
            <w:tcW w:w="7081" w:type="dxa"/>
            <w:tcBorders>
              <w:top w:val="nil"/>
              <w:left w:val="nil"/>
              <w:bottom w:val="single" w:sz="4" w:space="0" w:color="auto"/>
              <w:right w:val="single" w:sz="4" w:space="0" w:color="auto"/>
            </w:tcBorders>
            <w:vAlign w:val="center"/>
            <w:hideMark/>
          </w:tcPr>
          <w:p w14:paraId="4CAC2F1D" w14:textId="77777777" w:rsidR="00160081" w:rsidRPr="00160081" w:rsidRDefault="00160081" w:rsidP="00BD3D91">
            <w:pPr>
              <w:rPr>
                <w:rFonts w:cstheme="minorHAnsi"/>
                <w:color w:val="242424"/>
                <w:sz w:val="20"/>
                <w:szCs w:val="20"/>
              </w:rPr>
            </w:pPr>
            <w:r w:rsidRPr="00160081">
              <w:rPr>
                <w:rFonts w:cstheme="minorHAnsi"/>
                <w:color w:val="242424"/>
                <w:sz w:val="20"/>
                <w:szCs w:val="20"/>
              </w:rPr>
              <w:t>Notificaciones de nuevas tareas y alertas</w:t>
            </w:r>
          </w:p>
        </w:tc>
        <w:tc>
          <w:tcPr>
            <w:tcW w:w="1134" w:type="dxa"/>
            <w:tcBorders>
              <w:top w:val="nil"/>
              <w:left w:val="nil"/>
              <w:bottom w:val="single" w:sz="4" w:space="0" w:color="auto"/>
              <w:right w:val="single" w:sz="4" w:space="0" w:color="auto"/>
            </w:tcBorders>
            <w:vAlign w:val="center"/>
            <w:hideMark/>
          </w:tcPr>
          <w:p w14:paraId="049858C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392C40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38B2715E"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67AEBA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2.6</w:t>
            </w:r>
          </w:p>
        </w:tc>
        <w:tc>
          <w:tcPr>
            <w:tcW w:w="7081" w:type="dxa"/>
            <w:tcBorders>
              <w:top w:val="nil"/>
              <w:left w:val="nil"/>
              <w:bottom w:val="single" w:sz="4" w:space="0" w:color="auto"/>
              <w:right w:val="single" w:sz="4" w:space="0" w:color="auto"/>
            </w:tcBorders>
            <w:vAlign w:val="center"/>
            <w:hideMark/>
          </w:tcPr>
          <w:p w14:paraId="354876A5" w14:textId="77777777" w:rsidR="00160081" w:rsidRPr="00160081" w:rsidRDefault="00160081" w:rsidP="00BD3D91">
            <w:pPr>
              <w:rPr>
                <w:rFonts w:cstheme="minorHAnsi"/>
                <w:color w:val="242424"/>
                <w:sz w:val="20"/>
                <w:szCs w:val="20"/>
              </w:rPr>
            </w:pPr>
            <w:r w:rsidRPr="00160081">
              <w:rPr>
                <w:rFonts w:cstheme="minorHAnsi"/>
                <w:color w:val="242424"/>
                <w:sz w:val="20"/>
                <w:szCs w:val="20"/>
              </w:rPr>
              <w:t>Reportes por grupo y servidor.</w:t>
            </w:r>
          </w:p>
        </w:tc>
        <w:tc>
          <w:tcPr>
            <w:tcW w:w="1134" w:type="dxa"/>
            <w:tcBorders>
              <w:top w:val="nil"/>
              <w:left w:val="nil"/>
              <w:bottom w:val="single" w:sz="4" w:space="0" w:color="auto"/>
              <w:right w:val="single" w:sz="4" w:space="0" w:color="auto"/>
            </w:tcBorders>
            <w:vAlign w:val="center"/>
            <w:hideMark/>
          </w:tcPr>
          <w:p w14:paraId="37FC5F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7EE369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4FF0D1CF"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0B3E37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2.7</w:t>
            </w:r>
          </w:p>
        </w:tc>
        <w:tc>
          <w:tcPr>
            <w:tcW w:w="7081" w:type="dxa"/>
            <w:tcBorders>
              <w:top w:val="nil"/>
              <w:left w:val="nil"/>
              <w:bottom w:val="single" w:sz="4" w:space="0" w:color="auto"/>
              <w:right w:val="single" w:sz="4" w:space="0" w:color="auto"/>
            </w:tcBorders>
            <w:vAlign w:val="center"/>
            <w:hideMark/>
          </w:tcPr>
          <w:p w14:paraId="002913B0"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42E4EBC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336FF6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4EC3C401"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64ADBF4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w:t>
            </w:r>
          </w:p>
        </w:tc>
        <w:tc>
          <w:tcPr>
            <w:tcW w:w="7081" w:type="dxa"/>
            <w:tcBorders>
              <w:top w:val="nil"/>
              <w:left w:val="nil"/>
              <w:bottom w:val="single" w:sz="4" w:space="0" w:color="auto"/>
              <w:right w:val="single" w:sz="4" w:space="0" w:color="auto"/>
            </w:tcBorders>
            <w:shd w:val="clear" w:color="DBE9F7" w:fill="DBE9F7"/>
            <w:vAlign w:val="center"/>
            <w:hideMark/>
          </w:tcPr>
          <w:p w14:paraId="7890C34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SUPERVISIÓN Y APROBACIÓN</w:t>
            </w:r>
          </w:p>
        </w:tc>
        <w:tc>
          <w:tcPr>
            <w:tcW w:w="1134" w:type="dxa"/>
            <w:tcBorders>
              <w:top w:val="nil"/>
              <w:left w:val="nil"/>
              <w:bottom w:val="single" w:sz="4" w:space="0" w:color="auto"/>
              <w:right w:val="single" w:sz="4" w:space="0" w:color="auto"/>
            </w:tcBorders>
            <w:shd w:val="clear" w:color="DBE9F7" w:fill="DBE9F7"/>
            <w:vAlign w:val="center"/>
            <w:hideMark/>
          </w:tcPr>
          <w:p w14:paraId="64A0D15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DBE9F7" w:fill="DBE9F7"/>
            <w:vAlign w:val="center"/>
            <w:hideMark/>
          </w:tcPr>
          <w:p w14:paraId="088AC56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3930BCC4"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47432E0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3.1</w:t>
            </w:r>
          </w:p>
        </w:tc>
        <w:tc>
          <w:tcPr>
            <w:tcW w:w="7081" w:type="dxa"/>
            <w:tcBorders>
              <w:top w:val="nil"/>
              <w:left w:val="nil"/>
              <w:bottom w:val="single" w:sz="4" w:space="0" w:color="auto"/>
              <w:right w:val="single" w:sz="4" w:space="0" w:color="auto"/>
            </w:tcBorders>
            <w:vAlign w:val="center"/>
            <w:hideMark/>
          </w:tcPr>
          <w:p w14:paraId="774ACB2A" w14:textId="77777777" w:rsidR="00160081" w:rsidRPr="00160081" w:rsidRDefault="00160081" w:rsidP="00BD3D91">
            <w:pPr>
              <w:rPr>
                <w:rFonts w:cstheme="minorHAnsi"/>
                <w:color w:val="242424"/>
                <w:sz w:val="20"/>
                <w:szCs w:val="20"/>
              </w:rPr>
            </w:pPr>
            <w:r w:rsidRPr="00160081">
              <w:rPr>
                <w:rFonts w:cstheme="minorHAnsi"/>
                <w:color w:val="242424"/>
                <w:sz w:val="20"/>
                <w:szCs w:val="20"/>
              </w:rPr>
              <w:t>Configuración por medio de grupos de trabajo para que se ejecute de supervisión y aprobación</w:t>
            </w:r>
          </w:p>
        </w:tc>
        <w:tc>
          <w:tcPr>
            <w:tcW w:w="1134" w:type="dxa"/>
            <w:tcBorders>
              <w:top w:val="nil"/>
              <w:left w:val="nil"/>
              <w:bottom w:val="single" w:sz="4" w:space="0" w:color="auto"/>
              <w:right w:val="single" w:sz="4" w:space="0" w:color="auto"/>
            </w:tcBorders>
            <w:vAlign w:val="center"/>
            <w:hideMark/>
          </w:tcPr>
          <w:p w14:paraId="0B6102A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23B030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58D6F33C"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1DC674B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3.2</w:t>
            </w:r>
          </w:p>
        </w:tc>
        <w:tc>
          <w:tcPr>
            <w:tcW w:w="7081" w:type="dxa"/>
            <w:tcBorders>
              <w:top w:val="nil"/>
              <w:left w:val="nil"/>
              <w:bottom w:val="single" w:sz="4" w:space="0" w:color="auto"/>
              <w:right w:val="single" w:sz="4" w:space="0" w:color="auto"/>
            </w:tcBorders>
            <w:vAlign w:val="center"/>
            <w:hideMark/>
          </w:tcPr>
          <w:p w14:paraId="617824DC" w14:textId="77777777" w:rsidR="00160081" w:rsidRPr="00160081" w:rsidRDefault="00160081" w:rsidP="00BD3D91">
            <w:pPr>
              <w:rPr>
                <w:rFonts w:cstheme="minorHAnsi"/>
                <w:color w:val="242424"/>
                <w:sz w:val="20"/>
                <w:szCs w:val="20"/>
              </w:rPr>
            </w:pPr>
            <w:r w:rsidRPr="00160081">
              <w:rPr>
                <w:rFonts w:cstheme="minorHAnsi"/>
                <w:color w:val="242424"/>
                <w:sz w:val="20"/>
                <w:szCs w:val="20"/>
              </w:rPr>
              <w:t>Configurar reglas para asignación de niveles de supervisión y aprobación</w:t>
            </w:r>
          </w:p>
        </w:tc>
        <w:tc>
          <w:tcPr>
            <w:tcW w:w="1134" w:type="dxa"/>
            <w:tcBorders>
              <w:top w:val="nil"/>
              <w:left w:val="nil"/>
              <w:bottom w:val="single" w:sz="4" w:space="0" w:color="auto"/>
              <w:right w:val="single" w:sz="4" w:space="0" w:color="auto"/>
            </w:tcBorders>
            <w:vAlign w:val="center"/>
            <w:hideMark/>
          </w:tcPr>
          <w:p w14:paraId="592AF5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013209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009E733A"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493E3A9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3.3</w:t>
            </w:r>
          </w:p>
        </w:tc>
        <w:tc>
          <w:tcPr>
            <w:tcW w:w="7081" w:type="dxa"/>
            <w:tcBorders>
              <w:top w:val="nil"/>
              <w:left w:val="nil"/>
              <w:bottom w:val="single" w:sz="4" w:space="0" w:color="auto"/>
              <w:right w:val="single" w:sz="4" w:space="0" w:color="auto"/>
            </w:tcBorders>
            <w:vAlign w:val="center"/>
            <w:hideMark/>
          </w:tcPr>
          <w:p w14:paraId="735A54A5"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permitir al usuario describir la razón por la cual rechazó la solicitud para que esta información sea comunicada al usuario solicitante.</w:t>
            </w:r>
          </w:p>
        </w:tc>
        <w:tc>
          <w:tcPr>
            <w:tcW w:w="1134" w:type="dxa"/>
            <w:tcBorders>
              <w:top w:val="nil"/>
              <w:left w:val="nil"/>
              <w:bottom w:val="single" w:sz="4" w:space="0" w:color="auto"/>
              <w:right w:val="single" w:sz="4" w:space="0" w:color="auto"/>
            </w:tcBorders>
            <w:vAlign w:val="center"/>
            <w:hideMark/>
          </w:tcPr>
          <w:p w14:paraId="6B6E3B1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7EDD0890"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566BE373"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59B735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3.4</w:t>
            </w:r>
          </w:p>
        </w:tc>
        <w:tc>
          <w:tcPr>
            <w:tcW w:w="7081" w:type="dxa"/>
            <w:tcBorders>
              <w:top w:val="nil"/>
              <w:left w:val="nil"/>
              <w:bottom w:val="single" w:sz="4" w:space="0" w:color="auto"/>
              <w:right w:val="single" w:sz="4" w:space="0" w:color="auto"/>
            </w:tcBorders>
            <w:vAlign w:val="center"/>
            <w:hideMark/>
          </w:tcPr>
          <w:p w14:paraId="649559F1"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 permitir la trazabilidad y consulta del histórico de las aprobaciones y/o rechazos.</w:t>
            </w:r>
          </w:p>
        </w:tc>
        <w:tc>
          <w:tcPr>
            <w:tcW w:w="1134" w:type="dxa"/>
            <w:tcBorders>
              <w:top w:val="nil"/>
              <w:left w:val="nil"/>
              <w:bottom w:val="single" w:sz="4" w:space="0" w:color="auto"/>
              <w:right w:val="single" w:sz="4" w:space="0" w:color="auto"/>
            </w:tcBorders>
            <w:vAlign w:val="center"/>
            <w:hideMark/>
          </w:tcPr>
          <w:p w14:paraId="50A8666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76CDD1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5B90B1ED"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04018FE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3.5</w:t>
            </w:r>
          </w:p>
        </w:tc>
        <w:tc>
          <w:tcPr>
            <w:tcW w:w="7081" w:type="dxa"/>
            <w:tcBorders>
              <w:top w:val="nil"/>
              <w:left w:val="nil"/>
              <w:bottom w:val="single" w:sz="4" w:space="0" w:color="auto"/>
              <w:right w:val="single" w:sz="4" w:space="0" w:color="auto"/>
            </w:tcBorders>
            <w:vAlign w:val="center"/>
            <w:hideMark/>
          </w:tcPr>
          <w:p w14:paraId="4AFAD561"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13D8CE1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7F68339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6E12A9FB" w14:textId="77777777" w:rsidTr="007A425E">
        <w:trPr>
          <w:trHeight w:val="20"/>
        </w:trPr>
        <w:tc>
          <w:tcPr>
            <w:tcW w:w="0" w:type="auto"/>
            <w:tcBorders>
              <w:top w:val="nil"/>
              <w:left w:val="single" w:sz="4" w:space="0" w:color="auto"/>
              <w:bottom w:val="single" w:sz="4" w:space="0" w:color="auto"/>
              <w:right w:val="single" w:sz="4" w:space="0" w:color="auto"/>
            </w:tcBorders>
            <w:shd w:val="clear" w:color="DBE9F7" w:fill="DBE9F7"/>
            <w:vAlign w:val="center"/>
            <w:hideMark/>
          </w:tcPr>
          <w:p w14:paraId="5906AB3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w:t>
            </w:r>
          </w:p>
        </w:tc>
        <w:tc>
          <w:tcPr>
            <w:tcW w:w="7081" w:type="dxa"/>
            <w:tcBorders>
              <w:top w:val="nil"/>
              <w:left w:val="nil"/>
              <w:bottom w:val="single" w:sz="4" w:space="0" w:color="auto"/>
              <w:right w:val="single" w:sz="4" w:space="0" w:color="auto"/>
            </w:tcBorders>
            <w:shd w:val="clear" w:color="DBE9F7" w:fill="DBE9F7"/>
            <w:vAlign w:val="center"/>
            <w:hideMark/>
          </w:tcPr>
          <w:p w14:paraId="6FE40A5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ADICIONALES</w:t>
            </w:r>
          </w:p>
        </w:tc>
        <w:tc>
          <w:tcPr>
            <w:tcW w:w="1134" w:type="dxa"/>
            <w:tcBorders>
              <w:top w:val="nil"/>
              <w:left w:val="nil"/>
              <w:bottom w:val="single" w:sz="4" w:space="0" w:color="auto"/>
              <w:right w:val="single" w:sz="4" w:space="0" w:color="auto"/>
            </w:tcBorders>
            <w:shd w:val="clear" w:color="DBE9F7" w:fill="DBE9F7"/>
            <w:vAlign w:val="center"/>
            <w:hideMark/>
          </w:tcPr>
          <w:p w14:paraId="1A6D9AE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1559" w:type="dxa"/>
            <w:tcBorders>
              <w:top w:val="nil"/>
              <w:left w:val="nil"/>
              <w:bottom w:val="single" w:sz="4" w:space="0" w:color="auto"/>
              <w:right w:val="single" w:sz="4" w:space="0" w:color="auto"/>
            </w:tcBorders>
            <w:shd w:val="clear" w:color="DBE9F7" w:fill="DBE9F7"/>
            <w:vAlign w:val="center"/>
            <w:hideMark/>
          </w:tcPr>
          <w:p w14:paraId="79DB532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25FE8E20"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5D0FEAB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4.1</w:t>
            </w:r>
          </w:p>
        </w:tc>
        <w:tc>
          <w:tcPr>
            <w:tcW w:w="7081" w:type="dxa"/>
            <w:tcBorders>
              <w:top w:val="nil"/>
              <w:left w:val="nil"/>
              <w:bottom w:val="single" w:sz="4" w:space="0" w:color="auto"/>
              <w:right w:val="single" w:sz="4" w:space="0" w:color="auto"/>
            </w:tcBorders>
            <w:vAlign w:val="center"/>
            <w:hideMark/>
          </w:tcPr>
          <w:p w14:paraId="46AC0A94" w14:textId="77777777" w:rsidR="00160081" w:rsidRPr="00160081" w:rsidRDefault="00160081" w:rsidP="00BD3D91">
            <w:pPr>
              <w:rPr>
                <w:rFonts w:cstheme="minorHAnsi"/>
                <w:color w:val="242424"/>
                <w:sz w:val="20"/>
                <w:szCs w:val="20"/>
              </w:rPr>
            </w:pPr>
            <w:r w:rsidRPr="00160081">
              <w:rPr>
                <w:rFonts w:cstheme="minorHAnsi"/>
                <w:color w:val="242424"/>
                <w:sz w:val="20"/>
                <w:szCs w:val="20"/>
              </w:rPr>
              <w:t>Configurar reglas para identificación y asignación de tipos de requerimientos.</w:t>
            </w:r>
          </w:p>
        </w:tc>
        <w:tc>
          <w:tcPr>
            <w:tcW w:w="1134" w:type="dxa"/>
            <w:tcBorders>
              <w:top w:val="nil"/>
              <w:left w:val="nil"/>
              <w:bottom w:val="single" w:sz="4" w:space="0" w:color="auto"/>
              <w:right w:val="single" w:sz="4" w:space="0" w:color="auto"/>
            </w:tcBorders>
            <w:vAlign w:val="center"/>
            <w:hideMark/>
          </w:tcPr>
          <w:p w14:paraId="511EAE0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vAlign w:val="center"/>
            <w:hideMark/>
          </w:tcPr>
          <w:p w14:paraId="2107095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 </w:t>
            </w:r>
          </w:p>
        </w:tc>
      </w:tr>
      <w:tr w:rsidR="00160081" w:rsidRPr="00160081" w14:paraId="64E7C695"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19F1F9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4.2</w:t>
            </w:r>
          </w:p>
        </w:tc>
        <w:tc>
          <w:tcPr>
            <w:tcW w:w="7081" w:type="dxa"/>
            <w:tcBorders>
              <w:top w:val="nil"/>
              <w:left w:val="nil"/>
              <w:bottom w:val="single" w:sz="4" w:space="0" w:color="auto"/>
              <w:right w:val="single" w:sz="4" w:space="0" w:color="auto"/>
            </w:tcBorders>
            <w:vAlign w:val="center"/>
            <w:hideMark/>
          </w:tcPr>
          <w:p w14:paraId="408BC603"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identificar si el requerimiento fue presentado dentro de los plazos establecidos y generar alertas.</w:t>
            </w:r>
          </w:p>
        </w:tc>
        <w:tc>
          <w:tcPr>
            <w:tcW w:w="1134" w:type="dxa"/>
            <w:tcBorders>
              <w:top w:val="nil"/>
              <w:left w:val="nil"/>
              <w:bottom w:val="single" w:sz="4" w:space="0" w:color="auto"/>
              <w:right w:val="single" w:sz="4" w:space="0" w:color="auto"/>
            </w:tcBorders>
            <w:vAlign w:val="center"/>
            <w:hideMark/>
          </w:tcPr>
          <w:p w14:paraId="4D3838F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00EED180"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77C0D3F3"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2ABA2CF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4.3</w:t>
            </w:r>
          </w:p>
        </w:tc>
        <w:tc>
          <w:tcPr>
            <w:tcW w:w="7081" w:type="dxa"/>
            <w:tcBorders>
              <w:top w:val="nil"/>
              <w:left w:val="nil"/>
              <w:bottom w:val="single" w:sz="4" w:space="0" w:color="auto"/>
              <w:right w:val="single" w:sz="4" w:space="0" w:color="auto"/>
            </w:tcBorders>
            <w:vAlign w:val="center"/>
            <w:hideMark/>
          </w:tcPr>
          <w:p w14:paraId="435C58DF"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permitir la carga de documentos o archivos para registrar las acciones ejecutadas.</w:t>
            </w:r>
          </w:p>
        </w:tc>
        <w:tc>
          <w:tcPr>
            <w:tcW w:w="1134" w:type="dxa"/>
            <w:tcBorders>
              <w:top w:val="nil"/>
              <w:left w:val="nil"/>
              <w:bottom w:val="single" w:sz="4" w:space="0" w:color="auto"/>
              <w:right w:val="single" w:sz="4" w:space="0" w:color="auto"/>
            </w:tcBorders>
            <w:vAlign w:val="center"/>
            <w:hideMark/>
          </w:tcPr>
          <w:p w14:paraId="48CA4B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13D1EEB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53458429" w14:textId="77777777" w:rsidTr="007A425E">
        <w:trPr>
          <w:trHeight w:val="20"/>
        </w:trPr>
        <w:tc>
          <w:tcPr>
            <w:tcW w:w="0" w:type="auto"/>
            <w:tcBorders>
              <w:top w:val="nil"/>
              <w:left w:val="single" w:sz="4" w:space="0" w:color="auto"/>
              <w:bottom w:val="single" w:sz="4" w:space="0" w:color="auto"/>
              <w:right w:val="single" w:sz="4" w:space="0" w:color="auto"/>
            </w:tcBorders>
            <w:vAlign w:val="center"/>
            <w:hideMark/>
          </w:tcPr>
          <w:p w14:paraId="3B9004D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4.4</w:t>
            </w:r>
          </w:p>
        </w:tc>
        <w:tc>
          <w:tcPr>
            <w:tcW w:w="7081" w:type="dxa"/>
            <w:tcBorders>
              <w:top w:val="nil"/>
              <w:left w:val="nil"/>
              <w:bottom w:val="single" w:sz="4" w:space="0" w:color="auto"/>
              <w:right w:val="single" w:sz="4" w:space="0" w:color="auto"/>
            </w:tcBorders>
            <w:vAlign w:val="center"/>
            <w:hideMark/>
          </w:tcPr>
          <w:p w14:paraId="1F15A35D" w14:textId="77777777" w:rsidR="00160081" w:rsidRPr="00160081" w:rsidRDefault="00160081" w:rsidP="00BD3D91">
            <w:pPr>
              <w:rPr>
                <w:rFonts w:cstheme="minorHAnsi"/>
                <w:color w:val="242424"/>
                <w:sz w:val="20"/>
                <w:szCs w:val="20"/>
              </w:rPr>
            </w:pPr>
            <w:r w:rsidRPr="00160081">
              <w:rPr>
                <w:rFonts w:cstheme="minorHAnsi"/>
                <w:color w:val="242424"/>
                <w:sz w:val="20"/>
                <w:szCs w:val="20"/>
              </w:rPr>
              <w:t>El sistema deberá obtener y entregar la información a través de integraciones con aplicativos institucionales.</w:t>
            </w:r>
          </w:p>
        </w:tc>
        <w:tc>
          <w:tcPr>
            <w:tcW w:w="1134" w:type="dxa"/>
            <w:tcBorders>
              <w:top w:val="nil"/>
              <w:left w:val="nil"/>
              <w:bottom w:val="single" w:sz="4" w:space="0" w:color="auto"/>
              <w:right w:val="single" w:sz="4" w:space="0" w:color="auto"/>
            </w:tcBorders>
            <w:vAlign w:val="center"/>
            <w:hideMark/>
          </w:tcPr>
          <w:p w14:paraId="1C28EDA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1559" w:type="dxa"/>
            <w:tcBorders>
              <w:top w:val="nil"/>
              <w:left w:val="nil"/>
              <w:bottom w:val="single" w:sz="4" w:space="0" w:color="auto"/>
              <w:right w:val="single" w:sz="4" w:space="0" w:color="auto"/>
            </w:tcBorders>
            <w:noWrap/>
            <w:vAlign w:val="bottom"/>
            <w:hideMark/>
          </w:tcPr>
          <w:p w14:paraId="69328C8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bl>
    <w:p w14:paraId="2CEBFB6D" w14:textId="77777777" w:rsidR="00160081" w:rsidRPr="00160081" w:rsidRDefault="00160081" w:rsidP="00160081">
      <w:pPr>
        <w:suppressAutoHyphens/>
        <w:ind w:left="720"/>
        <w:jc w:val="both"/>
        <w:rPr>
          <w:rFonts w:cstheme="minorHAnsi"/>
          <w:b/>
          <w:bCs/>
          <w:sz w:val="20"/>
          <w:szCs w:val="20"/>
        </w:rPr>
      </w:pPr>
    </w:p>
    <w:p w14:paraId="0B76E9CE"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56" w:name="_Toc216114232"/>
      <w:bookmarkStart w:id="57" w:name="_Toc217326210"/>
      <w:r w:rsidRPr="00160081">
        <w:rPr>
          <w:rFonts w:asciiTheme="minorHAnsi" w:eastAsia="Times New Roman" w:hAnsiTheme="minorHAnsi" w:cstheme="minorHAnsi"/>
          <w:b/>
          <w:bCs/>
          <w:color w:val="000000" w:themeColor="text1"/>
          <w:sz w:val="20"/>
          <w:szCs w:val="20"/>
        </w:rPr>
        <w:t>6.3 Requerimientos técnicos y no funcionales</w:t>
      </w:r>
      <w:bookmarkEnd w:id="56"/>
      <w:bookmarkEnd w:id="57"/>
    </w:p>
    <w:p w14:paraId="6BF430DE" w14:textId="77777777" w:rsidR="00160081" w:rsidRPr="00160081" w:rsidRDefault="00160081" w:rsidP="00160081">
      <w:pPr>
        <w:ind w:left="720"/>
        <w:jc w:val="both"/>
        <w:rPr>
          <w:rFonts w:cstheme="minorHAnsi"/>
          <w:sz w:val="20"/>
          <w:szCs w:val="20"/>
        </w:rPr>
      </w:pPr>
    </w:p>
    <w:p w14:paraId="120394DC" w14:textId="77777777" w:rsidR="00160081" w:rsidRPr="00160081" w:rsidRDefault="00160081" w:rsidP="00160081">
      <w:pPr>
        <w:ind w:left="720"/>
        <w:jc w:val="both"/>
        <w:rPr>
          <w:rFonts w:cstheme="minorHAnsi"/>
          <w:sz w:val="20"/>
          <w:szCs w:val="20"/>
        </w:rPr>
      </w:pPr>
      <w:r w:rsidRPr="00160081">
        <w:rPr>
          <w:rFonts w:cstheme="minorHAnsi"/>
          <w:sz w:val="20"/>
          <w:szCs w:val="20"/>
        </w:rPr>
        <w:t>El presente apartado establece los requerimientos técnicos y no funcionales que deberá cumplir obligatoriamente el contratista para garantizar la correcta implementación, operación, sostenibilidad y evolución de la suite tecnológica integral, incluyendo todos los módulos complementarios que integren la solución. Estos requerimientos constituyen condiciones contractuales mínimas, verificables y de estricto cumplimiento, cuya aceptación es indispensable para la adjudicación, puesta en marcha y operación continua de la plataforma.</w:t>
      </w:r>
    </w:p>
    <w:p w14:paraId="7875DEB9"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El contratista será responsable de demostrar de forma documental y mediante evidencias técnicas el cumplimiento de cada requerimiento durante el diseño, instalación, configuración, parametrización, pruebas y entrega final. Asimismo, deberá garantizar que la solución se implemente utilizando capacidades nativas y soportadas del producto, evitando desarrollos ad hoc, extensiones no certificadas o configuraciones que comprometan la mantenibilidad, seguridad o compatibilidad evolutiva de la suite. Dichas evidencias podrán incluir, entre otros, diagramas de arquitectura aprobados, configuraciones exportadas de la suite, reportes de pruebas funcionales y no funcionales, registros de </w:t>
      </w:r>
      <w:proofErr w:type="spellStart"/>
      <w:r w:rsidRPr="00160081">
        <w:rPr>
          <w:rFonts w:cstheme="minorHAnsi"/>
          <w:sz w:val="20"/>
          <w:szCs w:val="20"/>
        </w:rPr>
        <w:t>versionamiento</w:t>
      </w:r>
      <w:proofErr w:type="spellEnd"/>
      <w:r w:rsidRPr="00160081">
        <w:rPr>
          <w:rFonts w:cstheme="minorHAnsi"/>
          <w:sz w:val="20"/>
          <w:szCs w:val="20"/>
        </w:rPr>
        <w:t>, bitácoras de despliegue entre ambientes, capturas de parametrización nativa y actas de aceptación.</w:t>
      </w:r>
    </w:p>
    <w:p w14:paraId="3D177030"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La solución deberá instalarse, configurarse e integrarse conforme a las mejores prácticas del fabricante y a los lineamientos institucionales del SRI, asegurando que todos los componentes funcionen de manera consistente, interoperable y con niveles de servicio acordes a las necesidades operativas de la institución. </w:t>
      </w:r>
    </w:p>
    <w:p w14:paraId="4737C1A5" w14:textId="77777777" w:rsidR="00160081" w:rsidRPr="00160081" w:rsidRDefault="00160081" w:rsidP="00160081">
      <w:pPr>
        <w:ind w:left="720"/>
        <w:jc w:val="both"/>
        <w:rPr>
          <w:rFonts w:cstheme="minorHAnsi"/>
          <w:sz w:val="20"/>
          <w:szCs w:val="20"/>
        </w:rPr>
      </w:pPr>
    </w:p>
    <w:p w14:paraId="410CB979" w14:textId="77777777" w:rsidR="00160081" w:rsidRPr="00160081" w:rsidRDefault="00160081" w:rsidP="00160081">
      <w:pPr>
        <w:ind w:left="720"/>
        <w:jc w:val="both"/>
        <w:rPr>
          <w:rFonts w:cstheme="minorHAnsi"/>
          <w:sz w:val="20"/>
          <w:szCs w:val="20"/>
        </w:rPr>
      </w:pPr>
      <w:r w:rsidRPr="00160081">
        <w:rPr>
          <w:rFonts w:cstheme="minorHAnsi"/>
          <w:sz w:val="20"/>
          <w:szCs w:val="20"/>
        </w:rPr>
        <w:t>El contratista deberá entregar la documentación técnica completa, manuales, parámetros de configuración, evidencias de pruebas y cualquier otro insumo necesario para verificar el cumplimiento de los requerimientos establecidos.</w:t>
      </w:r>
    </w:p>
    <w:p w14:paraId="454BAB81" w14:textId="033F57EF" w:rsidR="00160081" w:rsidRDefault="00160081" w:rsidP="007A425E">
      <w:pPr>
        <w:ind w:left="720"/>
        <w:jc w:val="both"/>
        <w:rPr>
          <w:rFonts w:cstheme="minorHAnsi"/>
          <w:sz w:val="20"/>
          <w:szCs w:val="20"/>
        </w:rPr>
      </w:pPr>
      <w:r w:rsidRPr="00160081">
        <w:rPr>
          <w:rFonts w:cstheme="minorHAnsi"/>
          <w:sz w:val="20"/>
          <w:szCs w:val="20"/>
        </w:rPr>
        <w:t>Los requerimientos incluidos en la tabla siguiente son de cumplimiento obligatorio y forman parte integral del contrato. Cada uno de ellos deberá ser atendido mediante funcionalidades comprobables, características técnicas nativas, configuraciones soportadas, integraciones estándar o componentes que sean parte explícita de la propuesta:</w:t>
      </w:r>
    </w:p>
    <w:tbl>
      <w:tblPr>
        <w:tblW w:w="11189" w:type="dxa"/>
        <w:jc w:val="center"/>
        <w:tblCellMar>
          <w:left w:w="70" w:type="dxa"/>
          <w:right w:w="70" w:type="dxa"/>
        </w:tblCellMar>
        <w:tblLook w:val="04A0" w:firstRow="1" w:lastRow="0" w:firstColumn="1" w:lastColumn="0" w:noHBand="0" w:noVBand="1"/>
      </w:tblPr>
      <w:tblGrid>
        <w:gridCol w:w="800"/>
        <w:gridCol w:w="2996"/>
        <w:gridCol w:w="1780"/>
        <w:gridCol w:w="5613"/>
      </w:tblGrid>
      <w:tr w:rsidR="007A425E" w:rsidRPr="007A425E" w14:paraId="03437040" w14:textId="77777777" w:rsidTr="007A425E">
        <w:trPr>
          <w:trHeight w:val="324"/>
          <w:tblHeader/>
          <w:jc w:val="center"/>
        </w:trPr>
        <w:tc>
          <w:tcPr>
            <w:tcW w:w="800" w:type="dxa"/>
            <w:tcBorders>
              <w:top w:val="single" w:sz="8" w:space="0" w:color="auto"/>
              <w:left w:val="single" w:sz="8" w:space="0" w:color="auto"/>
              <w:bottom w:val="nil"/>
              <w:right w:val="single" w:sz="8" w:space="0" w:color="auto"/>
            </w:tcBorders>
            <w:noWrap/>
            <w:vAlign w:val="center"/>
            <w:hideMark/>
          </w:tcPr>
          <w:p w14:paraId="0491C862" w14:textId="77777777" w:rsidR="007A425E" w:rsidRPr="007A425E" w:rsidRDefault="007A425E" w:rsidP="007A425E">
            <w:pPr>
              <w:spacing w:after="0" w:line="240" w:lineRule="auto"/>
              <w:jc w:val="center"/>
              <w:rPr>
                <w:rFonts w:ascii="Calibri" w:eastAsia="Times New Roman" w:hAnsi="Calibri" w:cs="Calibri"/>
                <w:b/>
                <w:bCs/>
                <w:color w:val="000000"/>
                <w:sz w:val="20"/>
                <w:szCs w:val="20"/>
                <w:lang w:eastAsia="es-EC"/>
              </w:rPr>
            </w:pPr>
            <w:proofErr w:type="spellStart"/>
            <w:r w:rsidRPr="007A425E">
              <w:rPr>
                <w:rFonts w:ascii="Calibri" w:eastAsia="Times New Roman" w:hAnsi="Calibri" w:cs="Calibri"/>
                <w:b/>
                <w:bCs/>
                <w:color w:val="000000"/>
                <w:sz w:val="20"/>
                <w:szCs w:val="20"/>
                <w:lang w:eastAsia="es-EC"/>
              </w:rPr>
              <w:t>N°</w:t>
            </w:r>
            <w:proofErr w:type="spellEnd"/>
          </w:p>
        </w:tc>
        <w:tc>
          <w:tcPr>
            <w:tcW w:w="2996" w:type="dxa"/>
            <w:tcBorders>
              <w:top w:val="single" w:sz="8" w:space="0" w:color="auto"/>
              <w:left w:val="nil"/>
              <w:bottom w:val="nil"/>
              <w:right w:val="single" w:sz="8" w:space="0" w:color="auto"/>
            </w:tcBorders>
            <w:noWrap/>
            <w:vAlign w:val="center"/>
            <w:hideMark/>
          </w:tcPr>
          <w:p w14:paraId="67C0F845" w14:textId="77777777" w:rsidR="007A425E" w:rsidRPr="007A425E" w:rsidRDefault="007A425E" w:rsidP="007A425E">
            <w:pPr>
              <w:spacing w:after="0" w:line="240" w:lineRule="auto"/>
              <w:jc w:val="center"/>
              <w:rPr>
                <w:rFonts w:ascii="Calibri" w:eastAsia="Times New Roman" w:hAnsi="Calibri" w:cs="Calibri"/>
                <w:b/>
                <w:bCs/>
                <w:color w:val="000000"/>
                <w:sz w:val="20"/>
                <w:szCs w:val="20"/>
                <w:lang w:eastAsia="es-EC"/>
              </w:rPr>
            </w:pPr>
            <w:r w:rsidRPr="007A425E">
              <w:rPr>
                <w:rFonts w:ascii="Calibri" w:eastAsia="Times New Roman" w:hAnsi="Calibri" w:cs="Calibri"/>
                <w:b/>
                <w:bCs/>
                <w:color w:val="000000"/>
                <w:sz w:val="20"/>
                <w:szCs w:val="20"/>
                <w:lang w:eastAsia="es-EC"/>
              </w:rPr>
              <w:t>ÁREA DE APLICACIÓN</w:t>
            </w:r>
          </w:p>
        </w:tc>
        <w:tc>
          <w:tcPr>
            <w:tcW w:w="1780" w:type="dxa"/>
            <w:tcBorders>
              <w:top w:val="single" w:sz="8" w:space="0" w:color="auto"/>
              <w:left w:val="nil"/>
              <w:bottom w:val="nil"/>
              <w:right w:val="single" w:sz="8" w:space="0" w:color="auto"/>
            </w:tcBorders>
            <w:noWrap/>
            <w:vAlign w:val="center"/>
            <w:hideMark/>
          </w:tcPr>
          <w:p w14:paraId="71015065" w14:textId="77777777" w:rsidR="007A425E" w:rsidRPr="007A425E" w:rsidRDefault="007A425E" w:rsidP="007A425E">
            <w:pPr>
              <w:spacing w:after="0" w:line="240" w:lineRule="auto"/>
              <w:jc w:val="center"/>
              <w:rPr>
                <w:rFonts w:ascii="Calibri" w:eastAsia="Times New Roman" w:hAnsi="Calibri" w:cs="Calibri"/>
                <w:b/>
                <w:bCs/>
                <w:color w:val="000000"/>
                <w:sz w:val="20"/>
                <w:szCs w:val="20"/>
                <w:lang w:eastAsia="es-EC"/>
              </w:rPr>
            </w:pPr>
            <w:r w:rsidRPr="007A425E">
              <w:rPr>
                <w:rFonts w:ascii="Calibri" w:eastAsia="Times New Roman" w:hAnsi="Calibri" w:cs="Calibri"/>
                <w:b/>
                <w:bCs/>
                <w:color w:val="000000"/>
                <w:sz w:val="20"/>
                <w:szCs w:val="20"/>
                <w:lang w:eastAsia="es-EC"/>
              </w:rPr>
              <w:t>ÁMBITO</w:t>
            </w:r>
          </w:p>
        </w:tc>
        <w:tc>
          <w:tcPr>
            <w:tcW w:w="5613" w:type="dxa"/>
            <w:tcBorders>
              <w:top w:val="single" w:sz="8" w:space="0" w:color="auto"/>
              <w:left w:val="nil"/>
              <w:bottom w:val="single" w:sz="8" w:space="0" w:color="auto"/>
              <w:right w:val="single" w:sz="8" w:space="0" w:color="auto"/>
            </w:tcBorders>
            <w:vAlign w:val="center"/>
            <w:hideMark/>
          </w:tcPr>
          <w:p w14:paraId="5A763105" w14:textId="77777777" w:rsidR="007A425E" w:rsidRPr="007A425E" w:rsidRDefault="007A425E" w:rsidP="007A425E">
            <w:pPr>
              <w:spacing w:after="0" w:line="240" w:lineRule="auto"/>
              <w:jc w:val="center"/>
              <w:rPr>
                <w:rFonts w:ascii="Calibri" w:eastAsia="Times New Roman" w:hAnsi="Calibri" w:cs="Calibri"/>
                <w:b/>
                <w:bCs/>
                <w:color w:val="000000"/>
                <w:sz w:val="20"/>
                <w:szCs w:val="20"/>
                <w:lang w:eastAsia="es-EC"/>
              </w:rPr>
            </w:pPr>
            <w:r w:rsidRPr="007A425E">
              <w:rPr>
                <w:rFonts w:ascii="Calibri" w:eastAsia="Times New Roman" w:hAnsi="Calibri" w:cs="Calibri"/>
                <w:b/>
                <w:bCs/>
                <w:color w:val="000000"/>
                <w:sz w:val="20"/>
                <w:szCs w:val="20"/>
                <w:lang w:eastAsia="es-EC"/>
              </w:rPr>
              <w:t>DESCRIPCIÓN</w:t>
            </w:r>
          </w:p>
        </w:tc>
      </w:tr>
      <w:tr w:rsidR="007A425E" w:rsidRPr="007A425E" w14:paraId="41E7CEFE" w14:textId="77777777" w:rsidTr="007A425E">
        <w:trPr>
          <w:trHeight w:val="1380"/>
          <w:jc w:val="center"/>
        </w:trPr>
        <w:tc>
          <w:tcPr>
            <w:tcW w:w="800" w:type="dxa"/>
            <w:vMerge w:val="restart"/>
            <w:tcBorders>
              <w:top w:val="single" w:sz="8" w:space="0" w:color="auto"/>
              <w:left w:val="single" w:sz="8" w:space="0" w:color="auto"/>
              <w:bottom w:val="single" w:sz="8" w:space="0" w:color="000000"/>
              <w:right w:val="single" w:sz="8" w:space="0" w:color="auto"/>
            </w:tcBorders>
            <w:vAlign w:val="center"/>
            <w:hideMark/>
          </w:tcPr>
          <w:p w14:paraId="4D35FC2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w:t>
            </w:r>
          </w:p>
        </w:tc>
        <w:tc>
          <w:tcPr>
            <w:tcW w:w="2996" w:type="dxa"/>
            <w:vMerge w:val="restart"/>
            <w:tcBorders>
              <w:top w:val="single" w:sz="8" w:space="0" w:color="auto"/>
              <w:left w:val="single" w:sz="8" w:space="0" w:color="auto"/>
              <w:bottom w:val="single" w:sz="8" w:space="0" w:color="000000"/>
              <w:right w:val="single" w:sz="8" w:space="0" w:color="auto"/>
            </w:tcBorders>
            <w:vAlign w:val="center"/>
            <w:hideMark/>
          </w:tcPr>
          <w:p w14:paraId="2B1720C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vMerge w:val="restart"/>
            <w:tcBorders>
              <w:top w:val="single" w:sz="8" w:space="0" w:color="auto"/>
              <w:left w:val="single" w:sz="8" w:space="0" w:color="auto"/>
              <w:bottom w:val="single" w:sz="8" w:space="0" w:color="000000"/>
              <w:right w:val="single" w:sz="8" w:space="0" w:color="auto"/>
            </w:tcBorders>
            <w:vAlign w:val="center"/>
            <w:hideMark/>
          </w:tcPr>
          <w:p w14:paraId="3151ADD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Capacidad de Infraestructura Tecnológica Requerida</w:t>
            </w:r>
          </w:p>
        </w:tc>
        <w:tc>
          <w:tcPr>
            <w:tcW w:w="5613" w:type="dxa"/>
            <w:tcBorders>
              <w:top w:val="nil"/>
              <w:left w:val="nil"/>
              <w:bottom w:val="nil"/>
              <w:right w:val="single" w:sz="8" w:space="0" w:color="auto"/>
            </w:tcBorders>
            <w:vAlign w:val="center"/>
            <w:hideMark/>
          </w:tcPr>
          <w:p w14:paraId="7BF1B722" w14:textId="77777777" w:rsid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proveedor debe suministrar el dimensionamiento de la capacidad de infraestructura tecnológica y licenciamiento de software base requerido para la solución tecnológica en cada ambiente solicitado y en ambiente productivo y contingencia de acuerdo con la demanda para año 1, 3 y 5, considerando al menos los siguientes componentes:</w:t>
            </w:r>
          </w:p>
          <w:p w14:paraId="6E312004"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1D29E8D8" w14:textId="7CA712AE" w:rsid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Aptos Narrow" w:eastAsia="Times New Roman" w:hAnsi="Aptos Narrow" w:cs="Times New Roman"/>
                <w:noProof/>
                <w:color w:val="000000"/>
                <w:lang w:eastAsia="es-EC"/>
              </w:rPr>
              <w:drawing>
                <wp:anchor distT="0" distB="0" distL="114300" distR="114300" simplePos="0" relativeHeight="251666432" behindDoc="0" locked="0" layoutInCell="1" allowOverlap="1" wp14:anchorId="308493C0" wp14:editId="6924EE03">
                  <wp:simplePos x="0" y="0"/>
                  <wp:positionH relativeFrom="column">
                    <wp:posOffset>-6985</wp:posOffset>
                  </wp:positionH>
                  <wp:positionV relativeFrom="paragraph">
                    <wp:posOffset>7620</wp:posOffset>
                  </wp:positionV>
                  <wp:extent cx="2598420" cy="1920240"/>
                  <wp:effectExtent l="0" t="0" r="0" b="3810"/>
                  <wp:wrapNone/>
                  <wp:docPr id="2" name="Imagen 1" descr="Tabla&#10;&#10;El contenido generado por IA puede ser incorrecto.">
                    <a:extLst xmlns:a="http://schemas.openxmlformats.org/drawingml/2006/main">
                      <a:ext uri="{FF2B5EF4-FFF2-40B4-BE49-F238E27FC236}">
                        <a16:creationId xmlns:a16="http://schemas.microsoft.com/office/drawing/2014/main" id="{9C73FD97-ED69-5567-F0E4-3F7C5FFA3A2A}"/>
                      </a:ext>
                    </a:extLst>
                  </wp:docPr>
                  <wp:cNvGraphicFramePr/>
                  <a:graphic xmlns:a="http://schemas.openxmlformats.org/drawingml/2006/main">
                    <a:graphicData uri="http://schemas.openxmlformats.org/drawingml/2006/picture">
                      <pic:pic xmlns:pic="http://schemas.openxmlformats.org/drawingml/2006/picture">
                        <pic:nvPicPr>
                          <pic:cNvPr id="2" name="Imagen 9" descr="Tabla&#10;&#10;El contenido generado por IA puede ser incorrecto.">
                            <a:extLst>
                              <a:ext uri="{FF2B5EF4-FFF2-40B4-BE49-F238E27FC236}">
                                <a16:creationId xmlns:a16="http://schemas.microsoft.com/office/drawing/2014/main" id="{9C73FD97-ED69-5567-F0E4-3F7C5FFA3A2A}"/>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8420" cy="192024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p w14:paraId="1B22951F"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05940EFD"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23A65484"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3F715D7E"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109C86C3"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4673E3FE"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4A3C0C0C"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50501B6F"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2E97C9D3"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2F5E5FCF"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3A11F9CA"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2586DD62"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p>
        </w:tc>
      </w:tr>
      <w:tr w:rsidR="007A425E" w:rsidRPr="007A425E" w14:paraId="453927D0" w14:textId="77777777" w:rsidTr="007A425E">
        <w:trPr>
          <w:trHeight w:val="1116"/>
          <w:jc w:val="center"/>
        </w:trPr>
        <w:tc>
          <w:tcPr>
            <w:tcW w:w="800" w:type="dxa"/>
            <w:vMerge/>
            <w:tcBorders>
              <w:top w:val="single" w:sz="8" w:space="0" w:color="auto"/>
              <w:left w:val="single" w:sz="8" w:space="0" w:color="auto"/>
              <w:bottom w:val="single" w:sz="8" w:space="0" w:color="000000"/>
              <w:right w:val="single" w:sz="8" w:space="0" w:color="auto"/>
            </w:tcBorders>
            <w:vAlign w:val="center"/>
            <w:hideMark/>
          </w:tcPr>
          <w:p w14:paraId="74FCD0A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single" w:sz="8" w:space="0" w:color="auto"/>
              <w:left w:val="single" w:sz="8" w:space="0" w:color="auto"/>
              <w:bottom w:val="single" w:sz="8" w:space="0" w:color="000000"/>
              <w:right w:val="single" w:sz="8" w:space="0" w:color="auto"/>
            </w:tcBorders>
            <w:vAlign w:val="center"/>
            <w:hideMark/>
          </w:tcPr>
          <w:p w14:paraId="21DE2DA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single" w:sz="8" w:space="0" w:color="auto"/>
              <w:left w:val="single" w:sz="8" w:space="0" w:color="auto"/>
              <w:bottom w:val="single" w:sz="8" w:space="0" w:color="000000"/>
              <w:right w:val="single" w:sz="8" w:space="0" w:color="auto"/>
            </w:tcBorders>
            <w:vAlign w:val="center"/>
            <w:hideMark/>
          </w:tcPr>
          <w:p w14:paraId="6389368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5803A6D6" w14:textId="77777777" w:rsidR="007A425E" w:rsidRDefault="007A425E" w:rsidP="007A425E">
            <w:pPr>
              <w:spacing w:after="0" w:line="240" w:lineRule="auto"/>
              <w:jc w:val="both"/>
              <w:rPr>
                <w:rFonts w:ascii="Calibri" w:eastAsia="Times New Roman" w:hAnsi="Calibri" w:cs="Calibri"/>
                <w:color w:val="000000"/>
                <w:sz w:val="20"/>
                <w:szCs w:val="20"/>
                <w:lang w:eastAsia="es-EC"/>
              </w:rPr>
            </w:pPr>
          </w:p>
          <w:p w14:paraId="21FEC0DA" w14:textId="7980A9EB"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Entregar documentación de dimensionamiento (CPU, RAM, almacenamiento, IOPS, </w:t>
            </w:r>
            <w:proofErr w:type="spellStart"/>
            <w:r w:rsidRPr="007A425E">
              <w:rPr>
                <w:rFonts w:ascii="Calibri" w:eastAsia="Times New Roman" w:hAnsi="Calibri" w:cs="Calibri"/>
                <w:color w:val="000000"/>
                <w:sz w:val="20"/>
                <w:szCs w:val="20"/>
                <w:lang w:eastAsia="es-EC"/>
              </w:rPr>
              <w:t>throughput</w:t>
            </w:r>
            <w:proofErr w:type="spellEnd"/>
            <w:r w:rsidRPr="007A425E">
              <w:rPr>
                <w:rFonts w:ascii="Calibri" w:eastAsia="Times New Roman" w:hAnsi="Calibri" w:cs="Calibri"/>
                <w:color w:val="000000"/>
                <w:sz w:val="20"/>
                <w:szCs w:val="20"/>
                <w:lang w:eastAsia="es-EC"/>
              </w:rPr>
              <w:t xml:space="preserve"> de red) para asegurar dimensionamiento correcto de la infraestructura </w:t>
            </w:r>
            <w:proofErr w:type="spellStart"/>
            <w:r w:rsidRPr="007A425E">
              <w:rPr>
                <w:rFonts w:ascii="Calibri" w:eastAsia="Times New Roman" w:hAnsi="Calibri" w:cs="Calibri"/>
                <w:color w:val="000000"/>
                <w:sz w:val="20"/>
                <w:szCs w:val="20"/>
                <w:lang w:eastAsia="es-EC"/>
              </w:rPr>
              <w:t>on</w:t>
            </w:r>
            <w:proofErr w:type="spellEnd"/>
            <w:r w:rsidRPr="007A425E">
              <w:rPr>
                <w:rFonts w:ascii="Calibri" w:eastAsia="Times New Roman" w:hAnsi="Calibri" w:cs="Calibri"/>
                <w:color w:val="000000"/>
                <w:sz w:val="20"/>
                <w:szCs w:val="20"/>
                <w:lang w:eastAsia="es-EC"/>
              </w:rPr>
              <w:noBreakHyphen/>
              <w:t>premise, incluyendo escenarios de carga típica, picos y contingencia.</w:t>
            </w:r>
          </w:p>
        </w:tc>
      </w:tr>
      <w:tr w:rsidR="007A425E" w:rsidRPr="007A425E" w14:paraId="6B678CD3" w14:textId="77777777" w:rsidTr="007A425E">
        <w:trPr>
          <w:trHeight w:val="828"/>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3CB92E6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w:t>
            </w:r>
          </w:p>
        </w:tc>
        <w:tc>
          <w:tcPr>
            <w:tcW w:w="2996" w:type="dxa"/>
            <w:vMerge w:val="restart"/>
            <w:tcBorders>
              <w:top w:val="nil"/>
              <w:left w:val="single" w:sz="8" w:space="0" w:color="auto"/>
              <w:bottom w:val="single" w:sz="8" w:space="0" w:color="000000"/>
              <w:right w:val="single" w:sz="8" w:space="0" w:color="auto"/>
            </w:tcBorders>
            <w:vAlign w:val="center"/>
            <w:hideMark/>
          </w:tcPr>
          <w:p w14:paraId="2735149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vMerge w:val="restart"/>
            <w:tcBorders>
              <w:top w:val="nil"/>
              <w:left w:val="single" w:sz="8" w:space="0" w:color="auto"/>
              <w:bottom w:val="single" w:sz="8" w:space="0" w:color="000000"/>
              <w:right w:val="single" w:sz="8" w:space="0" w:color="auto"/>
            </w:tcBorders>
            <w:vAlign w:val="center"/>
            <w:hideMark/>
          </w:tcPr>
          <w:p w14:paraId="3A636DB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DE AMBIENTES Y DESPLIEGUE</w:t>
            </w:r>
          </w:p>
        </w:tc>
        <w:tc>
          <w:tcPr>
            <w:tcW w:w="5613" w:type="dxa"/>
            <w:tcBorders>
              <w:top w:val="nil"/>
              <w:left w:val="nil"/>
              <w:bottom w:val="nil"/>
              <w:right w:val="single" w:sz="8" w:space="0" w:color="auto"/>
            </w:tcBorders>
            <w:vAlign w:val="center"/>
            <w:hideMark/>
          </w:tcPr>
          <w:p w14:paraId="1374302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Adjudicatario deberá proveer, configurar y dejar operativos los siguientes ambientes, asegurando la independencia lógica (y física donde se especifique) entre cada uno de ellos:</w:t>
            </w:r>
          </w:p>
        </w:tc>
      </w:tr>
      <w:tr w:rsidR="007A425E" w:rsidRPr="007A425E" w14:paraId="4359483A"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7E9259E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F8F2E3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42EC91E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08A52A6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 Ambiente de Producción: Destinado a la operación real. Debe contar con alta disponibilidad (HA) y balanceo de carga.</w:t>
            </w:r>
          </w:p>
        </w:tc>
      </w:tr>
      <w:tr w:rsidR="007A425E" w:rsidRPr="007A425E" w14:paraId="64E47B26"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5334AE7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2716CDF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0E7A34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416F463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 Ambiente de Contingencia (DRP): Ubicado en una zona de disponibilidad distinta, con paridad técnica total (1:1) respecto a Producción.</w:t>
            </w:r>
          </w:p>
        </w:tc>
      </w:tr>
      <w:tr w:rsidR="007A425E" w:rsidRPr="007A425E" w14:paraId="152EE866"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2C55473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5E9A87E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95BE70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05BBEAE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3. Ambiente de </w:t>
            </w:r>
            <w:proofErr w:type="spellStart"/>
            <w:r w:rsidRPr="007A425E">
              <w:rPr>
                <w:rFonts w:ascii="Calibri" w:eastAsia="Times New Roman" w:hAnsi="Calibri" w:cs="Calibri"/>
                <w:color w:val="000000"/>
                <w:sz w:val="20"/>
                <w:szCs w:val="20"/>
                <w:lang w:eastAsia="es-EC"/>
              </w:rPr>
              <w:t>Pre-producción</w:t>
            </w:r>
            <w:proofErr w:type="spellEnd"/>
            <w:r w:rsidRPr="007A425E">
              <w:rPr>
                <w:rFonts w:ascii="Calibri" w:eastAsia="Times New Roman" w:hAnsi="Calibri" w:cs="Calibri"/>
                <w:color w:val="000000"/>
                <w:sz w:val="20"/>
                <w:szCs w:val="20"/>
                <w:lang w:eastAsia="es-EC"/>
              </w:rPr>
              <w:t xml:space="preserve"> (UAT): Espejo de producción para pruebas de aceptación de usuario y certificación de seguridad.</w:t>
            </w:r>
          </w:p>
        </w:tc>
      </w:tr>
      <w:tr w:rsidR="007A425E" w:rsidRPr="007A425E" w14:paraId="34A31F1D"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4396540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7922EC4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4BD0630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1473AC3B"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 Ambiente de Pruebas (QA/</w:t>
            </w:r>
            <w:proofErr w:type="spellStart"/>
            <w:r w:rsidRPr="007A425E">
              <w:rPr>
                <w:rFonts w:ascii="Calibri" w:eastAsia="Times New Roman" w:hAnsi="Calibri" w:cs="Calibri"/>
                <w:color w:val="000000"/>
                <w:sz w:val="20"/>
                <w:szCs w:val="20"/>
                <w:lang w:eastAsia="es-EC"/>
              </w:rPr>
              <w:t>Testing</w:t>
            </w:r>
            <w:proofErr w:type="spellEnd"/>
            <w:r w:rsidRPr="007A425E">
              <w:rPr>
                <w:rFonts w:ascii="Calibri" w:eastAsia="Times New Roman" w:hAnsi="Calibri" w:cs="Calibri"/>
                <w:color w:val="000000"/>
                <w:sz w:val="20"/>
                <w:szCs w:val="20"/>
                <w:lang w:eastAsia="es-EC"/>
              </w:rPr>
              <w:t>): Destinado a pruebas integrales, funcionales y de calidad por parte del equipo técnico.</w:t>
            </w:r>
          </w:p>
        </w:tc>
      </w:tr>
      <w:tr w:rsidR="007A425E" w:rsidRPr="007A425E" w14:paraId="05C0E180" w14:textId="77777777" w:rsidTr="007A425E">
        <w:trPr>
          <w:trHeight w:val="564"/>
          <w:jc w:val="center"/>
        </w:trPr>
        <w:tc>
          <w:tcPr>
            <w:tcW w:w="800" w:type="dxa"/>
            <w:vMerge/>
            <w:tcBorders>
              <w:top w:val="nil"/>
              <w:left w:val="single" w:sz="8" w:space="0" w:color="auto"/>
              <w:bottom w:val="single" w:sz="8" w:space="0" w:color="000000"/>
              <w:right w:val="single" w:sz="8" w:space="0" w:color="auto"/>
            </w:tcBorders>
            <w:vAlign w:val="center"/>
            <w:hideMark/>
          </w:tcPr>
          <w:p w14:paraId="70ED608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5D9D997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021697A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37C46E1B"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 Ambiente de Desarrollo: Entorno para construcción, personalización y pruebas unitarias de la suite.</w:t>
            </w:r>
          </w:p>
        </w:tc>
      </w:tr>
      <w:tr w:rsidR="007A425E" w:rsidRPr="007A425E" w14:paraId="331A32D1"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53978DE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w:t>
            </w:r>
          </w:p>
        </w:tc>
        <w:tc>
          <w:tcPr>
            <w:tcW w:w="2996" w:type="dxa"/>
            <w:tcBorders>
              <w:top w:val="nil"/>
              <w:left w:val="nil"/>
              <w:bottom w:val="nil"/>
              <w:right w:val="nil"/>
            </w:tcBorders>
            <w:noWrap/>
            <w:vAlign w:val="bottom"/>
            <w:hideMark/>
          </w:tcPr>
          <w:p w14:paraId="782B4BFA" w14:textId="49A0E257" w:rsidR="007A425E" w:rsidRPr="007A425E" w:rsidRDefault="007A425E" w:rsidP="007A425E">
            <w:pPr>
              <w:spacing w:after="0" w:line="240" w:lineRule="auto"/>
              <w:jc w:val="center"/>
              <w:rPr>
                <w:rFonts w:ascii="Aptos Narrow" w:eastAsia="Times New Roman" w:hAnsi="Aptos Narrow" w:cs="Times New Roman"/>
                <w:color w:val="000000"/>
                <w:lang w:eastAsia="es-EC"/>
              </w:rPr>
            </w:pPr>
          </w:p>
          <w:tbl>
            <w:tblPr>
              <w:tblW w:w="0" w:type="auto"/>
              <w:tblCellSpacing w:w="0" w:type="dxa"/>
              <w:tblCellMar>
                <w:left w:w="0" w:type="dxa"/>
                <w:right w:w="0" w:type="dxa"/>
              </w:tblCellMar>
              <w:tblLook w:val="04A0" w:firstRow="1" w:lastRow="0" w:firstColumn="1" w:lastColumn="0" w:noHBand="0" w:noVBand="1"/>
            </w:tblPr>
            <w:tblGrid>
              <w:gridCol w:w="2846"/>
            </w:tblGrid>
            <w:tr w:rsidR="007A425E" w:rsidRPr="007A425E" w14:paraId="3C6D3854" w14:textId="77777777">
              <w:trPr>
                <w:trHeight w:val="840"/>
                <w:tblCellSpacing w:w="0" w:type="dxa"/>
              </w:trPr>
              <w:tc>
                <w:tcPr>
                  <w:tcW w:w="2980" w:type="dxa"/>
                  <w:tcBorders>
                    <w:top w:val="nil"/>
                    <w:left w:val="nil"/>
                    <w:bottom w:val="single" w:sz="8" w:space="0" w:color="auto"/>
                    <w:right w:val="single" w:sz="8" w:space="0" w:color="auto"/>
                  </w:tcBorders>
                  <w:vAlign w:val="center"/>
                  <w:hideMark/>
                </w:tcPr>
                <w:p w14:paraId="300EA21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r>
          </w:tbl>
          <w:p w14:paraId="4516BE8A" w14:textId="77777777" w:rsidR="007A425E" w:rsidRPr="007A425E" w:rsidRDefault="007A425E" w:rsidP="007A425E">
            <w:pPr>
              <w:spacing w:after="0" w:line="240" w:lineRule="auto"/>
              <w:jc w:val="center"/>
              <w:rPr>
                <w:rFonts w:ascii="Aptos Narrow" w:eastAsia="Times New Roman" w:hAnsi="Aptos Narrow" w:cs="Times New Roman"/>
                <w:color w:val="000000"/>
                <w:lang w:eastAsia="es-EC"/>
              </w:rPr>
            </w:pPr>
          </w:p>
        </w:tc>
        <w:tc>
          <w:tcPr>
            <w:tcW w:w="1780" w:type="dxa"/>
            <w:tcBorders>
              <w:top w:val="nil"/>
              <w:left w:val="nil"/>
              <w:bottom w:val="single" w:sz="8" w:space="0" w:color="auto"/>
              <w:right w:val="single" w:sz="8" w:space="0" w:color="auto"/>
            </w:tcBorders>
            <w:vAlign w:val="center"/>
            <w:hideMark/>
          </w:tcPr>
          <w:p w14:paraId="14988DA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Ambientes aislados</w:t>
            </w:r>
          </w:p>
        </w:tc>
        <w:tc>
          <w:tcPr>
            <w:tcW w:w="5613" w:type="dxa"/>
            <w:tcBorders>
              <w:top w:val="nil"/>
              <w:left w:val="nil"/>
              <w:bottom w:val="single" w:sz="8" w:space="0" w:color="auto"/>
              <w:right w:val="single" w:sz="8" w:space="0" w:color="auto"/>
            </w:tcBorders>
            <w:vAlign w:val="center"/>
            <w:hideMark/>
          </w:tcPr>
          <w:p w14:paraId="3B7FDBA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contemplar ambientes productivos, contingencia y no productivos aislados entre sí, documentados en diagramas de arquitectura con componentes, conexiones e integración.</w:t>
            </w:r>
          </w:p>
        </w:tc>
      </w:tr>
      <w:tr w:rsidR="007A425E" w:rsidRPr="007A425E" w14:paraId="4F84F623"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0F1C48A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w:t>
            </w:r>
          </w:p>
        </w:tc>
        <w:tc>
          <w:tcPr>
            <w:tcW w:w="2996" w:type="dxa"/>
            <w:tcBorders>
              <w:top w:val="nil"/>
              <w:left w:val="nil"/>
              <w:bottom w:val="single" w:sz="8" w:space="0" w:color="auto"/>
              <w:right w:val="single" w:sz="8" w:space="0" w:color="auto"/>
            </w:tcBorders>
            <w:vAlign w:val="center"/>
            <w:hideMark/>
          </w:tcPr>
          <w:p w14:paraId="4B1C088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0D7F34E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Arquitectura  </w:t>
            </w:r>
          </w:p>
        </w:tc>
        <w:tc>
          <w:tcPr>
            <w:tcW w:w="5613" w:type="dxa"/>
            <w:tcBorders>
              <w:top w:val="nil"/>
              <w:left w:val="nil"/>
              <w:bottom w:val="single" w:sz="8" w:space="0" w:color="auto"/>
              <w:right w:val="single" w:sz="8" w:space="0" w:color="auto"/>
            </w:tcBorders>
            <w:vAlign w:val="center"/>
            <w:hideMark/>
          </w:tcPr>
          <w:p w14:paraId="641D34F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contar con una arquitectura modular propuesta, que permita despliegue optimizado, escalabilidad y reutilización de componentes.  </w:t>
            </w:r>
          </w:p>
        </w:tc>
      </w:tr>
      <w:tr w:rsidR="007A425E" w:rsidRPr="007A425E" w14:paraId="050BCE30"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3AE38ED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w:t>
            </w:r>
          </w:p>
        </w:tc>
        <w:tc>
          <w:tcPr>
            <w:tcW w:w="2996" w:type="dxa"/>
            <w:tcBorders>
              <w:top w:val="nil"/>
              <w:left w:val="nil"/>
              <w:bottom w:val="single" w:sz="8" w:space="0" w:color="auto"/>
              <w:right w:val="single" w:sz="8" w:space="0" w:color="auto"/>
            </w:tcBorders>
            <w:vAlign w:val="center"/>
            <w:hideMark/>
          </w:tcPr>
          <w:p w14:paraId="46EB4D5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4C037CF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ECM – Integración BPM–ECM  </w:t>
            </w:r>
          </w:p>
        </w:tc>
        <w:tc>
          <w:tcPr>
            <w:tcW w:w="5613" w:type="dxa"/>
            <w:tcBorders>
              <w:top w:val="nil"/>
              <w:left w:val="nil"/>
              <w:bottom w:val="single" w:sz="8" w:space="0" w:color="auto"/>
              <w:right w:val="single" w:sz="8" w:space="0" w:color="auto"/>
            </w:tcBorders>
            <w:vAlign w:val="center"/>
            <w:hideMark/>
          </w:tcPr>
          <w:p w14:paraId="3CDCFE12"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ECM deberá integrarse con el BPMS para: creación automática de documentos; asociación con instancias del proceso; y cierre formal del expediente al finalizar el flujo.</w:t>
            </w:r>
          </w:p>
        </w:tc>
      </w:tr>
      <w:tr w:rsidR="007A425E" w:rsidRPr="007A425E" w14:paraId="005C520D"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30F1AC2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w:t>
            </w:r>
          </w:p>
        </w:tc>
        <w:tc>
          <w:tcPr>
            <w:tcW w:w="2996" w:type="dxa"/>
            <w:tcBorders>
              <w:top w:val="nil"/>
              <w:left w:val="nil"/>
              <w:bottom w:val="single" w:sz="8" w:space="0" w:color="auto"/>
              <w:right w:val="single" w:sz="8" w:space="0" w:color="auto"/>
            </w:tcBorders>
            <w:vAlign w:val="center"/>
            <w:hideMark/>
          </w:tcPr>
          <w:p w14:paraId="42662E2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6505942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Escalabilidad</w:t>
            </w:r>
          </w:p>
        </w:tc>
        <w:tc>
          <w:tcPr>
            <w:tcW w:w="5613" w:type="dxa"/>
            <w:tcBorders>
              <w:top w:val="nil"/>
              <w:left w:val="nil"/>
              <w:bottom w:val="single" w:sz="8" w:space="0" w:color="auto"/>
              <w:right w:val="single" w:sz="8" w:space="0" w:color="auto"/>
            </w:tcBorders>
            <w:vAlign w:val="center"/>
            <w:hideMark/>
          </w:tcPr>
          <w:p w14:paraId="2210FA3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debe permitir escalar horizontal y verticalmente los diferentes componentes de forma independiente (ej. escalar motor BPM sin escalar el Gestor Documental) para absorber picos de demanda.</w:t>
            </w:r>
          </w:p>
        </w:tc>
      </w:tr>
      <w:tr w:rsidR="007A425E" w:rsidRPr="007A425E" w14:paraId="095A9A4A"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70C45B1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w:t>
            </w:r>
          </w:p>
        </w:tc>
        <w:tc>
          <w:tcPr>
            <w:tcW w:w="2996" w:type="dxa"/>
            <w:tcBorders>
              <w:top w:val="nil"/>
              <w:left w:val="nil"/>
              <w:bottom w:val="single" w:sz="8" w:space="0" w:color="auto"/>
              <w:right w:val="single" w:sz="8" w:space="0" w:color="auto"/>
            </w:tcBorders>
            <w:vAlign w:val="center"/>
            <w:hideMark/>
          </w:tcPr>
          <w:p w14:paraId="37E68AA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2262B52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Escalabilidad modular</w:t>
            </w:r>
          </w:p>
        </w:tc>
        <w:tc>
          <w:tcPr>
            <w:tcW w:w="5613" w:type="dxa"/>
            <w:tcBorders>
              <w:top w:val="nil"/>
              <w:left w:val="nil"/>
              <w:bottom w:val="single" w:sz="8" w:space="0" w:color="auto"/>
              <w:right w:val="single" w:sz="8" w:space="0" w:color="auto"/>
            </w:tcBorders>
            <w:vAlign w:val="center"/>
            <w:hideMark/>
          </w:tcPr>
          <w:p w14:paraId="3FCBD29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incorporación de nuevas herramientas de la suite sin rediseño mayor, garantizando que la parametrización inicial pueda crecer con nuevos módulos y manteniendo compatibilidad con la infraestructura existente.</w:t>
            </w:r>
          </w:p>
        </w:tc>
      </w:tr>
      <w:tr w:rsidR="007A425E" w:rsidRPr="007A425E" w14:paraId="6E0142A3"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73DDBB8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8</w:t>
            </w:r>
          </w:p>
        </w:tc>
        <w:tc>
          <w:tcPr>
            <w:tcW w:w="2996" w:type="dxa"/>
            <w:tcBorders>
              <w:top w:val="nil"/>
              <w:left w:val="nil"/>
              <w:bottom w:val="single" w:sz="8" w:space="0" w:color="auto"/>
              <w:right w:val="single" w:sz="8" w:space="0" w:color="auto"/>
            </w:tcBorders>
            <w:vAlign w:val="center"/>
            <w:hideMark/>
          </w:tcPr>
          <w:p w14:paraId="1C70488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1A9AD06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Flexibilidad y Extensibilidad</w:t>
            </w:r>
          </w:p>
        </w:tc>
        <w:tc>
          <w:tcPr>
            <w:tcW w:w="5613" w:type="dxa"/>
            <w:tcBorders>
              <w:top w:val="nil"/>
              <w:left w:val="nil"/>
              <w:bottom w:val="single" w:sz="8" w:space="0" w:color="auto"/>
              <w:right w:val="single" w:sz="8" w:space="0" w:color="auto"/>
            </w:tcBorders>
            <w:vAlign w:val="center"/>
            <w:hideMark/>
          </w:tcPr>
          <w:p w14:paraId="4039370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ser flexible y extensible, permitiendo adaptaciones y expansiones futuras sin comprometer estabilidad ni desempeño.</w:t>
            </w:r>
          </w:p>
        </w:tc>
      </w:tr>
      <w:tr w:rsidR="007A425E" w:rsidRPr="007A425E" w14:paraId="02CBD14C"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4166566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9</w:t>
            </w:r>
          </w:p>
        </w:tc>
        <w:tc>
          <w:tcPr>
            <w:tcW w:w="2996" w:type="dxa"/>
            <w:tcBorders>
              <w:top w:val="nil"/>
              <w:left w:val="nil"/>
              <w:bottom w:val="single" w:sz="8" w:space="0" w:color="auto"/>
              <w:right w:val="single" w:sz="8" w:space="0" w:color="auto"/>
            </w:tcBorders>
            <w:vAlign w:val="center"/>
            <w:hideMark/>
          </w:tcPr>
          <w:p w14:paraId="0E0DC2E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40FAD9B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Independencia operativa</w:t>
            </w:r>
          </w:p>
        </w:tc>
        <w:tc>
          <w:tcPr>
            <w:tcW w:w="5613" w:type="dxa"/>
            <w:tcBorders>
              <w:top w:val="nil"/>
              <w:left w:val="nil"/>
              <w:bottom w:val="single" w:sz="8" w:space="0" w:color="auto"/>
              <w:right w:val="single" w:sz="8" w:space="0" w:color="auto"/>
            </w:tcBorders>
            <w:vAlign w:val="center"/>
            <w:hideMark/>
          </w:tcPr>
          <w:p w14:paraId="727EBAA9"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operar de forma independiente, sin depender de servicios externos para funciones críticas, asegurando autonomía operativa.</w:t>
            </w:r>
          </w:p>
        </w:tc>
      </w:tr>
      <w:tr w:rsidR="007A425E" w:rsidRPr="007A425E" w14:paraId="31EA0870" w14:textId="77777777" w:rsidTr="007A425E">
        <w:trPr>
          <w:trHeight w:val="1656"/>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6028F34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10</w:t>
            </w:r>
          </w:p>
        </w:tc>
        <w:tc>
          <w:tcPr>
            <w:tcW w:w="2996" w:type="dxa"/>
            <w:vMerge w:val="restart"/>
            <w:tcBorders>
              <w:top w:val="nil"/>
              <w:left w:val="single" w:sz="8" w:space="0" w:color="auto"/>
              <w:bottom w:val="single" w:sz="8" w:space="0" w:color="000000"/>
              <w:right w:val="single" w:sz="8" w:space="0" w:color="auto"/>
            </w:tcBorders>
            <w:vAlign w:val="center"/>
            <w:hideMark/>
          </w:tcPr>
          <w:p w14:paraId="1E0AAEA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vMerge w:val="restart"/>
            <w:tcBorders>
              <w:top w:val="nil"/>
              <w:left w:val="single" w:sz="8" w:space="0" w:color="auto"/>
              <w:bottom w:val="single" w:sz="8" w:space="0" w:color="000000"/>
              <w:right w:val="single" w:sz="8" w:space="0" w:color="auto"/>
            </w:tcBorders>
            <w:vAlign w:val="center"/>
            <w:hideMark/>
          </w:tcPr>
          <w:p w14:paraId="1ADA6FA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Integración estándar</w:t>
            </w:r>
          </w:p>
        </w:tc>
        <w:tc>
          <w:tcPr>
            <w:tcW w:w="5613" w:type="dxa"/>
            <w:tcBorders>
              <w:top w:val="nil"/>
              <w:left w:val="nil"/>
              <w:bottom w:val="nil"/>
              <w:right w:val="single" w:sz="8" w:space="0" w:color="auto"/>
            </w:tcBorders>
            <w:shd w:val="clear" w:color="000000" w:fill="FFFFFF"/>
            <w:vAlign w:val="center"/>
            <w:hideMark/>
          </w:tcPr>
          <w:p w14:paraId="48F9CAE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debe garantizar la interoperabilidad con el ecosistema tecnológico institucional. Para ello, deberá soportar mecanismos de integración estándar incluyendo, pero no limitándose a: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(REST/JSON, SOAP/XML), consumo directo de vistas en bases de datos Oracle (versiones 11gR2, 12cR2 y 19c), e intercambio de archivos mediante protocolos seguros (SFTP/FTPS).</w:t>
            </w:r>
          </w:p>
        </w:tc>
      </w:tr>
      <w:tr w:rsidR="007A425E" w:rsidRPr="007A425E" w14:paraId="437DD852" w14:textId="77777777" w:rsidTr="007A425E">
        <w:trPr>
          <w:trHeight w:val="1380"/>
          <w:jc w:val="center"/>
        </w:trPr>
        <w:tc>
          <w:tcPr>
            <w:tcW w:w="800" w:type="dxa"/>
            <w:vMerge/>
            <w:tcBorders>
              <w:top w:val="nil"/>
              <w:left w:val="single" w:sz="8" w:space="0" w:color="auto"/>
              <w:bottom w:val="single" w:sz="8" w:space="0" w:color="000000"/>
              <w:right w:val="single" w:sz="8" w:space="0" w:color="auto"/>
            </w:tcBorders>
            <w:vAlign w:val="center"/>
            <w:hideMark/>
          </w:tcPr>
          <w:p w14:paraId="7A52889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B4E721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B7B3AB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shd w:val="clear" w:color="000000" w:fill="FFFFFF"/>
            <w:vAlign w:val="center"/>
            <w:hideMark/>
          </w:tcPr>
          <w:p w14:paraId="618842F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suite debe demostrar compatibilidad técnica para interactuar con aplicaciones desarrolladas en Java (JEE6, JEE7 y </w:t>
            </w:r>
            <w:proofErr w:type="spellStart"/>
            <w:r w:rsidRPr="007A425E">
              <w:rPr>
                <w:rFonts w:ascii="Calibri" w:eastAsia="Times New Roman" w:hAnsi="Calibri" w:cs="Calibri"/>
                <w:color w:val="000000"/>
                <w:sz w:val="20"/>
                <w:szCs w:val="20"/>
                <w:lang w:eastAsia="es-EC"/>
              </w:rPr>
              <w:t>OpenJDK</w:t>
            </w:r>
            <w:proofErr w:type="spellEnd"/>
            <w:r w:rsidRPr="007A425E">
              <w:rPr>
                <w:rFonts w:ascii="Calibri" w:eastAsia="Times New Roman" w:hAnsi="Calibri" w:cs="Calibri"/>
                <w:color w:val="000000"/>
                <w:sz w:val="20"/>
                <w:szCs w:val="20"/>
                <w:lang w:eastAsia="es-EC"/>
              </w:rPr>
              <w:t xml:space="preserve"> 17) y herramientas de </w:t>
            </w:r>
            <w:proofErr w:type="gramStart"/>
            <w:r w:rsidRPr="007A425E">
              <w:rPr>
                <w:rFonts w:ascii="Calibri" w:eastAsia="Times New Roman" w:hAnsi="Calibri" w:cs="Calibri"/>
                <w:color w:val="000000"/>
                <w:sz w:val="20"/>
                <w:szCs w:val="20"/>
                <w:lang w:eastAsia="es-EC"/>
              </w:rPr>
              <w:t xml:space="preserve">Business </w:t>
            </w:r>
            <w:proofErr w:type="spellStart"/>
            <w:r w:rsidRPr="007A425E">
              <w:rPr>
                <w:rFonts w:ascii="Calibri" w:eastAsia="Times New Roman" w:hAnsi="Calibri" w:cs="Calibri"/>
                <w:color w:val="000000"/>
                <w:sz w:val="20"/>
                <w:szCs w:val="20"/>
                <w:lang w:eastAsia="es-EC"/>
              </w:rPr>
              <w:t>Intelligence</w:t>
            </w:r>
            <w:proofErr w:type="spellEnd"/>
            <w:proofErr w:type="gramEnd"/>
            <w:r w:rsidRPr="007A425E">
              <w:rPr>
                <w:rFonts w:ascii="Calibri" w:eastAsia="Times New Roman" w:hAnsi="Calibri" w:cs="Calibri"/>
                <w:color w:val="000000"/>
                <w:sz w:val="20"/>
                <w:szCs w:val="20"/>
                <w:lang w:eastAsia="es-EC"/>
              </w:rPr>
              <w:t xml:space="preserve"> (BI) existentes, entre otras, asegurando interoperabilidad y evitando dependencias propietarias que limiten la evolución tecnológica.</w:t>
            </w:r>
          </w:p>
        </w:tc>
      </w:tr>
      <w:tr w:rsidR="007A425E" w:rsidRPr="007A425E" w14:paraId="2E665C3C" w14:textId="77777777" w:rsidTr="007A425E">
        <w:trPr>
          <w:trHeight w:val="840"/>
          <w:jc w:val="center"/>
        </w:trPr>
        <w:tc>
          <w:tcPr>
            <w:tcW w:w="800" w:type="dxa"/>
            <w:vMerge/>
            <w:tcBorders>
              <w:top w:val="nil"/>
              <w:left w:val="single" w:sz="8" w:space="0" w:color="auto"/>
              <w:bottom w:val="single" w:sz="8" w:space="0" w:color="000000"/>
              <w:right w:val="single" w:sz="8" w:space="0" w:color="auto"/>
            </w:tcBorders>
            <w:vAlign w:val="center"/>
            <w:hideMark/>
          </w:tcPr>
          <w:p w14:paraId="4DE08C6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A77BB6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E5DA37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shd w:val="clear" w:color="000000" w:fill="FFFFFF"/>
            <w:vAlign w:val="center"/>
            <w:hideMark/>
          </w:tcPr>
          <w:p w14:paraId="0955749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 valorará positivamente que la solución contemple arquitecturas de integración escalables, como el uso de un Bus de Integración, que faciliten el rendimiento y el mantenimiento futuro de las integraciones.</w:t>
            </w:r>
          </w:p>
        </w:tc>
      </w:tr>
      <w:tr w:rsidR="007A425E" w:rsidRPr="007A425E" w14:paraId="6391C5C7"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27ED370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11</w:t>
            </w:r>
          </w:p>
        </w:tc>
        <w:tc>
          <w:tcPr>
            <w:tcW w:w="2996" w:type="dxa"/>
            <w:tcBorders>
              <w:top w:val="nil"/>
              <w:left w:val="nil"/>
              <w:bottom w:val="single" w:sz="8" w:space="0" w:color="auto"/>
              <w:right w:val="single" w:sz="8" w:space="0" w:color="auto"/>
            </w:tcBorders>
            <w:vAlign w:val="center"/>
            <w:hideMark/>
          </w:tcPr>
          <w:p w14:paraId="5265AB9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2175813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Pila tecnológica</w:t>
            </w:r>
          </w:p>
        </w:tc>
        <w:tc>
          <w:tcPr>
            <w:tcW w:w="5613" w:type="dxa"/>
            <w:tcBorders>
              <w:top w:val="nil"/>
              <w:left w:val="nil"/>
              <w:bottom w:val="single" w:sz="8" w:space="0" w:color="auto"/>
              <w:right w:val="single" w:sz="8" w:space="0" w:color="auto"/>
            </w:tcBorders>
            <w:vAlign w:val="center"/>
            <w:hideMark/>
          </w:tcPr>
          <w:p w14:paraId="33EB43B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El contratista deberá declarar lenguaje, </w:t>
            </w:r>
            <w:proofErr w:type="spellStart"/>
            <w:r w:rsidRPr="007A425E">
              <w:rPr>
                <w:rFonts w:ascii="Calibri" w:eastAsia="Times New Roman" w:hAnsi="Calibri" w:cs="Calibri"/>
                <w:color w:val="000000"/>
                <w:sz w:val="20"/>
                <w:szCs w:val="20"/>
                <w:lang w:eastAsia="es-EC"/>
              </w:rPr>
              <w:t>framework</w:t>
            </w:r>
            <w:proofErr w:type="spellEnd"/>
            <w:r w:rsidRPr="007A425E">
              <w:rPr>
                <w:rFonts w:ascii="Calibri" w:eastAsia="Times New Roman" w:hAnsi="Calibri" w:cs="Calibri"/>
                <w:color w:val="000000"/>
                <w:sz w:val="20"/>
                <w:szCs w:val="20"/>
                <w:lang w:eastAsia="es-EC"/>
              </w:rPr>
              <w:t xml:space="preserve"> y </w:t>
            </w:r>
            <w:proofErr w:type="spellStart"/>
            <w:r w:rsidRPr="007A425E">
              <w:rPr>
                <w:rFonts w:ascii="Calibri" w:eastAsia="Times New Roman" w:hAnsi="Calibri" w:cs="Calibri"/>
                <w:color w:val="000000"/>
                <w:sz w:val="20"/>
                <w:szCs w:val="20"/>
                <w:lang w:eastAsia="es-EC"/>
              </w:rPr>
              <w:t>stack</w:t>
            </w:r>
            <w:proofErr w:type="spellEnd"/>
            <w:r w:rsidRPr="007A425E">
              <w:rPr>
                <w:rFonts w:ascii="Calibri" w:eastAsia="Times New Roman" w:hAnsi="Calibri" w:cs="Calibri"/>
                <w:color w:val="000000"/>
                <w:sz w:val="20"/>
                <w:szCs w:val="20"/>
                <w:lang w:eastAsia="es-EC"/>
              </w:rPr>
              <w:t xml:space="preserve"> utilizados, garantizando compatibilidad con infraestructura del SRI.</w:t>
            </w:r>
          </w:p>
        </w:tc>
      </w:tr>
      <w:tr w:rsidR="007A425E" w:rsidRPr="007A425E" w14:paraId="7223F365" w14:textId="77777777" w:rsidTr="007A425E">
        <w:trPr>
          <w:trHeight w:val="1944"/>
          <w:jc w:val="center"/>
        </w:trPr>
        <w:tc>
          <w:tcPr>
            <w:tcW w:w="800" w:type="dxa"/>
            <w:tcBorders>
              <w:top w:val="nil"/>
              <w:left w:val="single" w:sz="8" w:space="0" w:color="auto"/>
              <w:bottom w:val="single" w:sz="8" w:space="0" w:color="auto"/>
              <w:right w:val="single" w:sz="8" w:space="0" w:color="auto"/>
            </w:tcBorders>
            <w:vAlign w:val="center"/>
            <w:hideMark/>
          </w:tcPr>
          <w:p w14:paraId="6A5D5E9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12</w:t>
            </w:r>
          </w:p>
        </w:tc>
        <w:tc>
          <w:tcPr>
            <w:tcW w:w="2996" w:type="dxa"/>
            <w:tcBorders>
              <w:top w:val="nil"/>
              <w:left w:val="nil"/>
              <w:bottom w:val="single" w:sz="8" w:space="0" w:color="auto"/>
              <w:right w:val="single" w:sz="8" w:space="0" w:color="auto"/>
            </w:tcBorders>
            <w:vAlign w:val="center"/>
            <w:hideMark/>
          </w:tcPr>
          <w:p w14:paraId="1B03F93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027C8BB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roofErr w:type="spellStart"/>
            <w:r w:rsidRPr="007A425E">
              <w:rPr>
                <w:rFonts w:ascii="Calibri" w:eastAsia="Times New Roman" w:hAnsi="Calibri" w:cs="Calibri"/>
                <w:color w:val="000000"/>
                <w:sz w:val="20"/>
                <w:szCs w:val="20"/>
                <w:lang w:eastAsia="es-EC"/>
              </w:rPr>
              <w:t>APIs</w:t>
            </w:r>
            <w:proofErr w:type="spellEnd"/>
          </w:p>
        </w:tc>
        <w:tc>
          <w:tcPr>
            <w:tcW w:w="5613" w:type="dxa"/>
            <w:tcBorders>
              <w:top w:val="nil"/>
              <w:left w:val="nil"/>
              <w:bottom w:val="single" w:sz="8" w:space="0" w:color="auto"/>
              <w:right w:val="single" w:sz="8" w:space="0" w:color="auto"/>
            </w:tcBorders>
            <w:vAlign w:val="center"/>
            <w:hideMark/>
          </w:tcPr>
          <w:p w14:paraId="7F0807E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permitir acceso e integración vía API, con documentación y contratos de servicio claros. El proveedor deberá garantizar que las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cumplan con estándares de seguridad y buenas prácticas de gestión. Se valorará positivamente que la solución contemple el uso de una plataforma de API Management, que fortalezca la seguridad, escalabilidad y el mantenimiento futuro de las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w:t>
            </w:r>
          </w:p>
        </w:tc>
      </w:tr>
      <w:tr w:rsidR="007A425E" w:rsidRPr="007A425E" w14:paraId="1F80D4A4"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683D6FB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13</w:t>
            </w:r>
          </w:p>
        </w:tc>
        <w:tc>
          <w:tcPr>
            <w:tcW w:w="2996" w:type="dxa"/>
            <w:tcBorders>
              <w:top w:val="nil"/>
              <w:left w:val="nil"/>
              <w:bottom w:val="single" w:sz="8" w:space="0" w:color="auto"/>
              <w:right w:val="single" w:sz="8" w:space="0" w:color="auto"/>
            </w:tcBorders>
            <w:vAlign w:val="center"/>
            <w:hideMark/>
          </w:tcPr>
          <w:p w14:paraId="17F47DD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198CE60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Ejecución distribuida y paralela</w:t>
            </w:r>
          </w:p>
        </w:tc>
        <w:tc>
          <w:tcPr>
            <w:tcW w:w="5613" w:type="dxa"/>
            <w:tcBorders>
              <w:top w:val="nil"/>
              <w:left w:val="nil"/>
              <w:bottom w:val="single" w:sz="8" w:space="0" w:color="auto"/>
              <w:right w:val="single" w:sz="8" w:space="0" w:color="auto"/>
            </w:tcBorders>
            <w:vAlign w:val="center"/>
            <w:hideMark/>
          </w:tcPr>
          <w:p w14:paraId="4D610EC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Los componentes de la solución deberán soportar ejecución distribuida y paralela de procesos, manteniendo consistencia transaccional, compensación de errores y reintentos configurables sin desarrollo adicional.  </w:t>
            </w:r>
          </w:p>
        </w:tc>
      </w:tr>
      <w:tr w:rsidR="007A425E" w:rsidRPr="007A425E" w14:paraId="05E73460" w14:textId="77777777" w:rsidTr="007A425E">
        <w:trPr>
          <w:trHeight w:val="1944"/>
          <w:jc w:val="center"/>
        </w:trPr>
        <w:tc>
          <w:tcPr>
            <w:tcW w:w="800" w:type="dxa"/>
            <w:tcBorders>
              <w:top w:val="nil"/>
              <w:left w:val="single" w:sz="8" w:space="0" w:color="auto"/>
              <w:bottom w:val="single" w:sz="8" w:space="0" w:color="auto"/>
              <w:right w:val="single" w:sz="8" w:space="0" w:color="auto"/>
            </w:tcBorders>
            <w:vAlign w:val="center"/>
            <w:hideMark/>
          </w:tcPr>
          <w:p w14:paraId="2C6A641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14</w:t>
            </w:r>
          </w:p>
        </w:tc>
        <w:tc>
          <w:tcPr>
            <w:tcW w:w="2996" w:type="dxa"/>
            <w:tcBorders>
              <w:top w:val="nil"/>
              <w:left w:val="nil"/>
              <w:bottom w:val="single" w:sz="8" w:space="0" w:color="auto"/>
              <w:right w:val="single" w:sz="8" w:space="0" w:color="auto"/>
            </w:tcBorders>
            <w:vAlign w:val="center"/>
            <w:hideMark/>
          </w:tcPr>
          <w:p w14:paraId="088E3E91" w14:textId="5EA894F8"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QA</w:t>
            </w:r>
          </w:p>
        </w:tc>
        <w:tc>
          <w:tcPr>
            <w:tcW w:w="1780" w:type="dxa"/>
            <w:tcBorders>
              <w:top w:val="nil"/>
              <w:left w:val="nil"/>
              <w:bottom w:val="single" w:sz="8" w:space="0" w:color="auto"/>
              <w:right w:val="single" w:sz="8" w:space="0" w:color="auto"/>
            </w:tcBorders>
            <w:shd w:val="clear" w:color="000000" w:fill="FFFFFF"/>
            <w:vAlign w:val="center"/>
            <w:hideMark/>
          </w:tcPr>
          <w:p w14:paraId="5402F85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Mecanismos de despliegue</w:t>
            </w:r>
          </w:p>
        </w:tc>
        <w:tc>
          <w:tcPr>
            <w:tcW w:w="5613" w:type="dxa"/>
            <w:tcBorders>
              <w:top w:val="nil"/>
              <w:left w:val="nil"/>
              <w:bottom w:val="single" w:sz="8" w:space="0" w:color="auto"/>
              <w:right w:val="single" w:sz="8" w:space="0" w:color="auto"/>
            </w:tcBorders>
            <w:shd w:val="clear" w:color="000000" w:fill="FFFFFF"/>
            <w:vAlign w:val="center"/>
            <w:hideMark/>
          </w:tcPr>
          <w:p w14:paraId="10FE469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 tener un mecanismo de despliegue entre los diferentes ambientes no productivos, productivos y contingencia, considerando mejores prácticas para entrega continua. El proveedor deberá garantizar procesos de despliegue controlados y trazables, pudiendo implementar pipelines automatizados u otros mecanismos equivalentes que aseguren la calidad y estabilidad en la implementación de cambios.</w:t>
            </w:r>
          </w:p>
        </w:tc>
      </w:tr>
      <w:tr w:rsidR="007A425E" w:rsidRPr="007A425E" w14:paraId="6574115F" w14:textId="77777777" w:rsidTr="007A425E">
        <w:trPr>
          <w:trHeight w:val="1944"/>
          <w:jc w:val="center"/>
        </w:trPr>
        <w:tc>
          <w:tcPr>
            <w:tcW w:w="800" w:type="dxa"/>
            <w:tcBorders>
              <w:top w:val="nil"/>
              <w:left w:val="single" w:sz="8" w:space="0" w:color="auto"/>
              <w:bottom w:val="single" w:sz="8" w:space="0" w:color="auto"/>
              <w:right w:val="single" w:sz="8" w:space="0" w:color="auto"/>
            </w:tcBorders>
            <w:vAlign w:val="center"/>
            <w:hideMark/>
          </w:tcPr>
          <w:p w14:paraId="11D103B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15</w:t>
            </w:r>
          </w:p>
        </w:tc>
        <w:tc>
          <w:tcPr>
            <w:tcW w:w="2996" w:type="dxa"/>
            <w:tcBorders>
              <w:top w:val="nil"/>
              <w:left w:val="nil"/>
              <w:bottom w:val="single" w:sz="8" w:space="0" w:color="auto"/>
              <w:right w:val="single" w:sz="8" w:space="0" w:color="auto"/>
            </w:tcBorders>
            <w:vAlign w:val="center"/>
            <w:hideMark/>
          </w:tcPr>
          <w:p w14:paraId="1A88703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QA</w:t>
            </w:r>
          </w:p>
        </w:tc>
        <w:tc>
          <w:tcPr>
            <w:tcW w:w="1780" w:type="dxa"/>
            <w:tcBorders>
              <w:top w:val="nil"/>
              <w:left w:val="nil"/>
              <w:bottom w:val="single" w:sz="8" w:space="0" w:color="auto"/>
              <w:right w:val="single" w:sz="8" w:space="0" w:color="auto"/>
            </w:tcBorders>
            <w:shd w:val="clear" w:color="000000" w:fill="FFFFFF"/>
            <w:vAlign w:val="center"/>
            <w:hideMark/>
          </w:tcPr>
          <w:p w14:paraId="7F4543D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Sincronización de Ambientes</w:t>
            </w:r>
          </w:p>
        </w:tc>
        <w:tc>
          <w:tcPr>
            <w:tcW w:w="5613" w:type="dxa"/>
            <w:tcBorders>
              <w:top w:val="nil"/>
              <w:left w:val="nil"/>
              <w:bottom w:val="single" w:sz="8" w:space="0" w:color="auto"/>
              <w:right w:val="single" w:sz="8" w:space="0" w:color="auto"/>
            </w:tcBorders>
            <w:shd w:val="clear" w:color="000000" w:fill="FFFFFF"/>
            <w:vAlign w:val="center"/>
            <w:hideMark/>
          </w:tcPr>
          <w:p w14:paraId="1F4998B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tener mecanismos que permitan comparar diferentes ambientes y obtener las diferencias entre ellos, además debe tener mecanismos automáticos para la sincronización de la meta data y datos. El proveedor podrá implementar estas capacidades de forma nativa o mediante utilitarios,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u otros mecanismos equivalentes, siempre que se garantice la trazabilidad, integridad y consistencia de la información entre ambientes.</w:t>
            </w:r>
          </w:p>
        </w:tc>
      </w:tr>
      <w:tr w:rsidR="007A425E" w:rsidRPr="007A425E" w14:paraId="4FE51CF4" w14:textId="77777777" w:rsidTr="007A425E">
        <w:trPr>
          <w:trHeight w:val="1392"/>
          <w:jc w:val="center"/>
        </w:trPr>
        <w:tc>
          <w:tcPr>
            <w:tcW w:w="800" w:type="dxa"/>
            <w:tcBorders>
              <w:top w:val="nil"/>
              <w:left w:val="single" w:sz="8" w:space="0" w:color="auto"/>
              <w:bottom w:val="single" w:sz="8" w:space="0" w:color="auto"/>
              <w:right w:val="single" w:sz="8" w:space="0" w:color="auto"/>
            </w:tcBorders>
            <w:vAlign w:val="center"/>
            <w:hideMark/>
          </w:tcPr>
          <w:p w14:paraId="30CB5D8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16</w:t>
            </w:r>
          </w:p>
        </w:tc>
        <w:tc>
          <w:tcPr>
            <w:tcW w:w="2996" w:type="dxa"/>
            <w:tcBorders>
              <w:top w:val="nil"/>
              <w:left w:val="nil"/>
              <w:bottom w:val="single" w:sz="8" w:space="0" w:color="auto"/>
              <w:right w:val="single" w:sz="8" w:space="0" w:color="auto"/>
            </w:tcBorders>
            <w:vAlign w:val="center"/>
            <w:hideMark/>
          </w:tcPr>
          <w:p w14:paraId="04CED83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QA</w:t>
            </w:r>
          </w:p>
        </w:tc>
        <w:tc>
          <w:tcPr>
            <w:tcW w:w="1780" w:type="dxa"/>
            <w:tcBorders>
              <w:top w:val="nil"/>
              <w:left w:val="nil"/>
              <w:bottom w:val="single" w:sz="8" w:space="0" w:color="auto"/>
              <w:right w:val="single" w:sz="8" w:space="0" w:color="auto"/>
            </w:tcBorders>
            <w:vAlign w:val="center"/>
            <w:hideMark/>
          </w:tcPr>
          <w:p w14:paraId="0E4A3C6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Gobernanza – Ciclo de Vida</w:t>
            </w:r>
          </w:p>
        </w:tc>
        <w:tc>
          <w:tcPr>
            <w:tcW w:w="5613" w:type="dxa"/>
            <w:tcBorders>
              <w:top w:val="nil"/>
              <w:left w:val="nil"/>
              <w:bottom w:val="single" w:sz="8" w:space="0" w:color="auto"/>
              <w:right w:val="single" w:sz="8" w:space="0" w:color="auto"/>
            </w:tcBorders>
            <w:vAlign w:val="center"/>
            <w:hideMark/>
          </w:tcPr>
          <w:p w14:paraId="50FB331F"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Cada artefacto de BPMS, BRMS y ECM, Sistema de Riesgos Tributarios deberá seguir un ciclo formal de liberación, controlado por herramientas nativas de la suite o mediante integración con herramientas externas equivalentes, garantizando que no existan intervenciones manuales en el proceso.</w:t>
            </w:r>
          </w:p>
        </w:tc>
      </w:tr>
      <w:tr w:rsidR="007A425E" w:rsidRPr="007A425E" w14:paraId="065F698B"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23949DA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17</w:t>
            </w:r>
          </w:p>
        </w:tc>
        <w:tc>
          <w:tcPr>
            <w:tcW w:w="2996" w:type="dxa"/>
            <w:tcBorders>
              <w:top w:val="nil"/>
              <w:left w:val="nil"/>
              <w:bottom w:val="single" w:sz="8" w:space="0" w:color="auto"/>
              <w:right w:val="single" w:sz="8" w:space="0" w:color="auto"/>
            </w:tcBorders>
            <w:vAlign w:val="center"/>
            <w:hideMark/>
          </w:tcPr>
          <w:p w14:paraId="1771B1F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7FC437F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IA</w:t>
            </w:r>
          </w:p>
        </w:tc>
        <w:tc>
          <w:tcPr>
            <w:tcW w:w="5613" w:type="dxa"/>
            <w:tcBorders>
              <w:top w:val="nil"/>
              <w:left w:val="nil"/>
              <w:bottom w:val="single" w:sz="8" w:space="0" w:color="auto"/>
              <w:right w:val="single" w:sz="8" w:space="0" w:color="auto"/>
            </w:tcBorders>
            <w:vAlign w:val="center"/>
            <w:hideMark/>
          </w:tcPr>
          <w:p w14:paraId="25A3577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integración con servicios de Inteligencia Artificial externos. </w:t>
            </w:r>
          </w:p>
        </w:tc>
      </w:tr>
      <w:tr w:rsidR="007A425E" w:rsidRPr="007A425E" w14:paraId="6FFA845F"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1560AFE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18</w:t>
            </w:r>
          </w:p>
        </w:tc>
        <w:tc>
          <w:tcPr>
            <w:tcW w:w="2996" w:type="dxa"/>
            <w:tcBorders>
              <w:top w:val="nil"/>
              <w:left w:val="nil"/>
              <w:bottom w:val="single" w:sz="8" w:space="0" w:color="auto"/>
              <w:right w:val="single" w:sz="8" w:space="0" w:color="auto"/>
            </w:tcBorders>
            <w:vAlign w:val="center"/>
            <w:hideMark/>
          </w:tcPr>
          <w:p w14:paraId="3948B91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35F1531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Integración </w:t>
            </w:r>
          </w:p>
        </w:tc>
        <w:tc>
          <w:tcPr>
            <w:tcW w:w="5613" w:type="dxa"/>
            <w:tcBorders>
              <w:top w:val="nil"/>
              <w:left w:val="nil"/>
              <w:bottom w:val="single" w:sz="8" w:space="0" w:color="auto"/>
              <w:right w:val="single" w:sz="8" w:space="0" w:color="auto"/>
            </w:tcBorders>
            <w:vAlign w:val="center"/>
            <w:hideMark/>
          </w:tcPr>
          <w:p w14:paraId="060E5C6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deberá permitir integración entre todos los componentes que forman parte de la suite.  </w:t>
            </w:r>
          </w:p>
        </w:tc>
      </w:tr>
      <w:tr w:rsidR="007A425E" w:rsidRPr="007A425E" w14:paraId="078882E5" w14:textId="77777777" w:rsidTr="007A425E">
        <w:trPr>
          <w:trHeight w:val="2220"/>
          <w:jc w:val="center"/>
        </w:trPr>
        <w:tc>
          <w:tcPr>
            <w:tcW w:w="800" w:type="dxa"/>
            <w:tcBorders>
              <w:top w:val="nil"/>
              <w:left w:val="single" w:sz="8" w:space="0" w:color="auto"/>
              <w:bottom w:val="single" w:sz="8" w:space="0" w:color="auto"/>
              <w:right w:val="single" w:sz="8" w:space="0" w:color="auto"/>
            </w:tcBorders>
            <w:vAlign w:val="center"/>
            <w:hideMark/>
          </w:tcPr>
          <w:p w14:paraId="78B524D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19</w:t>
            </w:r>
          </w:p>
        </w:tc>
        <w:tc>
          <w:tcPr>
            <w:tcW w:w="2996" w:type="dxa"/>
            <w:tcBorders>
              <w:top w:val="nil"/>
              <w:left w:val="nil"/>
              <w:bottom w:val="single" w:sz="8" w:space="0" w:color="auto"/>
              <w:right w:val="single" w:sz="8" w:space="0" w:color="auto"/>
            </w:tcBorders>
            <w:vAlign w:val="center"/>
            <w:hideMark/>
          </w:tcPr>
          <w:p w14:paraId="585482A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3D256CC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Interoperabilidad</w:t>
            </w:r>
          </w:p>
        </w:tc>
        <w:tc>
          <w:tcPr>
            <w:tcW w:w="5613" w:type="dxa"/>
            <w:tcBorders>
              <w:top w:val="nil"/>
              <w:left w:val="nil"/>
              <w:bottom w:val="single" w:sz="8" w:space="0" w:color="auto"/>
              <w:right w:val="single" w:sz="8" w:space="0" w:color="auto"/>
            </w:tcBorders>
            <w:vAlign w:val="center"/>
            <w:hideMark/>
          </w:tcPr>
          <w:p w14:paraId="5FCAF0E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Las integraciones deberán garantizar mecanismos nativos de manejo de fallos externos, incluyendo reintentos, colas persistentes y procesos de error </w:t>
            </w:r>
            <w:proofErr w:type="spellStart"/>
            <w:r w:rsidRPr="007A425E">
              <w:rPr>
                <w:rFonts w:ascii="Calibri" w:eastAsia="Times New Roman" w:hAnsi="Calibri" w:cs="Calibri"/>
                <w:color w:val="000000"/>
                <w:sz w:val="20"/>
                <w:szCs w:val="20"/>
                <w:lang w:eastAsia="es-EC"/>
              </w:rPr>
              <w:t>handling</w:t>
            </w:r>
            <w:proofErr w:type="spellEnd"/>
            <w:r w:rsidRPr="007A425E">
              <w:rPr>
                <w:rFonts w:ascii="Calibri" w:eastAsia="Times New Roman" w:hAnsi="Calibri" w:cs="Calibri"/>
                <w:color w:val="000000"/>
                <w:sz w:val="20"/>
                <w:szCs w:val="20"/>
                <w:lang w:eastAsia="es-EC"/>
              </w:rPr>
              <w:t>, asegurando la continuidad operativa de los procesos críticos. La solución deberá diseñarse para alcanzar una latencia objetivo menor a 3 segundos en las operaciones de integración, reconociendo que el cumplimiento efectivo de este parámetro depende también de la infraestructura institucional y de los servicios externos involucrados.</w:t>
            </w:r>
          </w:p>
        </w:tc>
      </w:tr>
      <w:tr w:rsidR="007A425E" w:rsidRPr="007A425E" w14:paraId="556525A3" w14:textId="77777777" w:rsidTr="007A425E">
        <w:trPr>
          <w:trHeight w:val="1668"/>
          <w:jc w:val="center"/>
        </w:trPr>
        <w:tc>
          <w:tcPr>
            <w:tcW w:w="800" w:type="dxa"/>
            <w:tcBorders>
              <w:top w:val="nil"/>
              <w:left w:val="single" w:sz="8" w:space="0" w:color="auto"/>
              <w:bottom w:val="single" w:sz="8" w:space="0" w:color="auto"/>
              <w:right w:val="single" w:sz="8" w:space="0" w:color="auto"/>
            </w:tcBorders>
            <w:vAlign w:val="center"/>
            <w:hideMark/>
          </w:tcPr>
          <w:p w14:paraId="1B124EC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20</w:t>
            </w:r>
          </w:p>
        </w:tc>
        <w:tc>
          <w:tcPr>
            <w:tcW w:w="2996" w:type="dxa"/>
            <w:tcBorders>
              <w:top w:val="nil"/>
              <w:left w:val="nil"/>
              <w:bottom w:val="single" w:sz="8" w:space="0" w:color="auto"/>
              <w:right w:val="single" w:sz="8" w:space="0" w:color="auto"/>
            </w:tcBorders>
            <w:vAlign w:val="center"/>
            <w:hideMark/>
          </w:tcPr>
          <w:p w14:paraId="2864FBF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Desarrollo /QA </w:t>
            </w:r>
            <w:proofErr w:type="spellStart"/>
            <w:r w:rsidRPr="007A425E">
              <w:rPr>
                <w:rFonts w:ascii="Calibri" w:eastAsia="Times New Roman" w:hAnsi="Calibri" w:cs="Calibri"/>
                <w:color w:val="000000"/>
                <w:sz w:val="20"/>
                <w:szCs w:val="20"/>
                <w:lang w:eastAsia="es-EC"/>
              </w:rPr>
              <w:t>QA</w:t>
            </w:r>
            <w:proofErr w:type="spellEnd"/>
          </w:p>
        </w:tc>
        <w:tc>
          <w:tcPr>
            <w:tcW w:w="1780" w:type="dxa"/>
            <w:tcBorders>
              <w:top w:val="nil"/>
              <w:left w:val="nil"/>
              <w:bottom w:val="single" w:sz="8" w:space="0" w:color="auto"/>
              <w:right w:val="single" w:sz="8" w:space="0" w:color="auto"/>
            </w:tcBorders>
            <w:vAlign w:val="center"/>
            <w:hideMark/>
          </w:tcPr>
          <w:p w14:paraId="4523EEA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Mantenibilidad / </w:t>
            </w:r>
            <w:proofErr w:type="spellStart"/>
            <w:r w:rsidRPr="007A425E">
              <w:rPr>
                <w:rFonts w:ascii="Calibri" w:eastAsia="Times New Roman" w:hAnsi="Calibri" w:cs="Calibri"/>
                <w:color w:val="000000"/>
                <w:sz w:val="20"/>
                <w:szCs w:val="20"/>
                <w:lang w:eastAsia="es-EC"/>
              </w:rPr>
              <w:t>DevSecOps</w:t>
            </w:r>
            <w:proofErr w:type="spellEnd"/>
          </w:p>
        </w:tc>
        <w:tc>
          <w:tcPr>
            <w:tcW w:w="5613" w:type="dxa"/>
            <w:tcBorders>
              <w:top w:val="nil"/>
              <w:left w:val="nil"/>
              <w:bottom w:val="single" w:sz="8" w:space="0" w:color="auto"/>
              <w:right w:val="single" w:sz="8" w:space="0" w:color="auto"/>
            </w:tcBorders>
            <w:vAlign w:val="center"/>
            <w:hideMark/>
          </w:tcPr>
          <w:p w14:paraId="0E86688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deberá implementar "Mecanismos de despliegue" que permitan automatizar pipelines de construcción, pruebas, seguridad y despliegue de preferencia integrándose con herramientas institucionales o en base a su experiencia y mejores prácticas y en acuerdo mutuo se realice la implementación y configuración de estas herramientas, para que sean utilizadas por el SRI. </w:t>
            </w:r>
          </w:p>
        </w:tc>
      </w:tr>
      <w:tr w:rsidR="007A425E" w:rsidRPr="007A425E" w14:paraId="1D6E308A"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2461BE3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21</w:t>
            </w:r>
          </w:p>
        </w:tc>
        <w:tc>
          <w:tcPr>
            <w:tcW w:w="2996" w:type="dxa"/>
            <w:tcBorders>
              <w:top w:val="nil"/>
              <w:left w:val="nil"/>
              <w:bottom w:val="single" w:sz="8" w:space="0" w:color="auto"/>
              <w:right w:val="single" w:sz="8" w:space="0" w:color="auto"/>
            </w:tcBorders>
            <w:vAlign w:val="center"/>
            <w:hideMark/>
          </w:tcPr>
          <w:p w14:paraId="54CA782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767050E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Notificaciones configurables</w:t>
            </w:r>
          </w:p>
        </w:tc>
        <w:tc>
          <w:tcPr>
            <w:tcW w:w="5613" w:type="dxa"/>
            <w:tcBorders>
              <w:top w:val="nil"/>
              <w:left w:val="nil"/>
              <w:bottom w:val="single" w:sz="8" w:space="0" w:color="auto"/>
              <w:right w:val="single" w:sz="8" w:space="0" w:color="auto"/>
            </w:tcBorders>
            <w:vAlign w:val="center"/>
            <w:hideMark/>
          </w:tcPr>
          <w:p w14:paraId="4DDC748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deberá incluir un servicio de notificaciones configurable, que permita definir reglas de disparo, canales (correo electrónico, mensajería interna, </w:t>
            </w:r>
            <w:proofErr w:type="spellStart"/>
            <w:r w:rsidRPr="007A425E">
              <w:rPr>
                <w:rFonts w:ascii="Calibri" w:eastAsia="Times New Roman" w:hAnsi="Calibri" w:cs="Calibri"/>
                <w:color w:val="000000"/>
                <w:sz w:val="20"/>
                <w:szCs w:val="20"/>
                <w:lang w:eastAsia="es-EC"/>
              </w:rPr>
              <w:t>webhook</w:t>
            </w:r>
            <w:proofErr w:type="spellEnd"/>
            <w:r w:rsidRPr="007A425E">
              <w:rPr>
                <w:rFonts w:ascii="Calibri" w:eastAsia="Times New Roman" w:hAnsi="Calibri" w:cs="Calibri"/>
                <w:color w:val="000000"/>
                <w:sz w:val="20"/>
                <w:szCs w:val="20"/>
                <w:lang w:eastAsia="es-EC"/>
              </w:rPr>
              <w:t xml:space="preserve"> u otros), plantillas parametrizables y trazabilidad de entrega, sin requerir desarrollo adicional. </w:t>
            </w:r>
          </w:p>
        </w:tc>
      </w:tr>
      <w:tr w:rsidR="007A425E" w:rsidRPr="007A425E" w14:paraId="156B8850" w14:textId="77777777" w:rsidTr="007A425E">
        <w:trPr>
          <w:trHeight w:val="3048"/>
          <w:jc w:val="center"/>
        </w:trPr>
        <w:tc>
          <w:tcPr>
            <w:tcW w:w="800" w:type="dxa"/>
            <w:tcBorders>
              <w:top w:val="nil"/>
              <w:left w:val="single" w:sz="8" w:space="0" w:color="auto"/>
              <w:bottom w:val="single" w:sz="8" w:space="0" w:color="auto"/>
              <w:right w:val="single" w:sz="8" w:space="0" w:color="auto"/>
            </w:tcBorders>
            <w:vAlign w:val="center"/>
            <w:hideMark/>
          </w:tcPr>
          <w:p w14:paraId="2748D00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22</w:t>
            </w:r>
          </w:p>
        </w:tc>
        <w:tc>
          <w:tcPr>
            <w:tcW w:w="2996" w:type="dxa"/>
            <w:tcBorders>
              <w:top w:val="nil"/>
              <w:left w:val="nil"/>
              <w:bottom w:val="single" w:sz="8" w:space="0" w:color="auto"/>
              <w:right w:val="single" w:sz="8" w:space="0" w:color="auto"/>
            </w:tcBorders>
            <w:vAlign w:val="center"/>
            <w:hideMark/>
          </w:tcPr>
          <w:p w14:paraId="2F61C21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545E9CA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Rendimiento BPMS</w:t>
            </w:r>
          </w:p>
        </w:tc>
        <w:tc>
          <w:tcPr>
            <w:tcW w:w="5613" w:type="dxa"/>
            <w:tcBorders>
              <w:top w:val="nil"/>
              <w:left w:val="nil"/>
              <w:bottom w:val="single" w:sz="8" w:space="0" w:color="auto"/>
              <w:right w:val="single" w:sz="8" w:space="0" w:color="auto"/>
            </w:tcBorders>
            <w:vAlign w:val="center"/>
            <w:hideMark/>
          </w:tcPr>
          <w:p w14:paraId="4CAC9F63"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motor de procesos BPMN de la solución deberá ejecutar tareas automáticas con tiempos de respuesta menores a 1 segundo, en operaciones internas, y mantener transiciones de flujos paralelos o ramificados con tiempos objetivo-menores a 500 milisegundos, siempre que no involucren la invocación de componentes o servicios externos. En los casos en que las tareas dependan de sistemas externos (correo, notificaciones, otros servicios integrados), el proveedor deberá garantizar mecanismos que aseguren conexión permanente, baja latencia y resiliencia, reconociendo que el desempeño efectivo dependerá también de la infraestructura institucional y de la carga operacional al momento de ejecución.</w:t>
            </w:r>
          </w:p>
        </w:tc>
      </w:tr>
      <w:tr w:rsidR="007A425E" w:rsidRPr="007A425E" w14:paraId="1ACD87DE" w14:textId="77777777" w:rsidTr="007A425E">
        <w:trPr>
          <w:trHeight w:val="2496"/>
          <w:jc w:val="center"/>
        </w:trPr>
        <w:tc>
          <w:tcPr>
            <w:tcW w:w="800" w:type="dxa"/>
            <w:tcBorders>
              <w:top w:val="nil"/>
              <w:left w:val="single" w:sz="8" w:space="0" w:color="auto"/>
              <w:bottom w:val="single" w:sz="8" w:space="0" w:color="auto"/>
              <w:right w:val="single" w:sz="8" w:space="0" w:color="auto"/>
            </w:tcBorders>
            <w:vAlign w:val="center"/>
            <w:hideMark/>
          </w:tcPr>
          <w:p w14:paraId="5959156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23</w:t>
            </w:r>
          </w:p>
        </w:tc>
        <w:tc>
          <w:tcPr>
            <w:tcW w:w="2996" w:type="dxa"/>
            <w:tcBorders>
              <w:top w:val="nil"/>
              <w:left w:val="nil"/>
              <w:bottom w:val="single" w:sz="8" w:space="0" w:color="auto"/>
              <w:right w:val="single" w:sz="8" w:space="0" w:color="auto"/>
            </w:tcBorders>
            <w:vAlign w:val="center"/>
            <w:hideMark/>
          </w:tcPr>
          <w:p w14:paraId="49967D3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2D4F53D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Rendimiento BRMS</w:t>
            </w:r>
          </w:p>
        </w:tc>
        <w:tc>
          <w:tcPr>
            <w:tcW w:w="5613" w:type="dxa"/>
            <w:tcBorders>
              <w:top w:val="nil"/>
              <w:left w:val="nil"/>
              <w:bottom w:val="single" w:sz="8" w:space="0" w:color="auto"/>
              <w:right w:val="single" w:sz="8" w:space="0" w:color="auto"/>
            </w:tcBorders>
            <w:vAlign w:val="center"/>
            <w:hideMark/>
          </w:tcPr>
          <w:p w14:paraId="574F5DC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motor de reglas deberá evaluar decisiones en &lt;300ms promedio y ≤800ms bajo alta carga, manteniendo versiones simultáneas sin degradación superior al 10%. En los casos en que las existan dependencias de sistemas externos (correo, notificaciones, otros servicios integrados), el proveedor deberá garantizar mecanismos que aseguren conexión permanente, baja latencia y resiliencia, reconociendo que el desempeño efectivo dependerá también de la infraestructura institucional y de la carga operacional al momento de ejecución. </w:t>
            </w:r>
          </w:p>
        </w:tc>
      </w:tr>
      <w:tr w:rsidR="007A425E" w:rsidRPr="007A425E" w14:paraId="028FB418"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59E20AB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24</w:t>
            </w:r>
          </w:p>
        </w:tc>
        <w:tc>
          <w:tcPr>
            <w:tcW w:w="2996" w:type="dxa"/>
            <w:tcBorders>
              <w:top w:val="nil"/>
              <w:left w:val="nil"/>
              <w:bottom w:val="single" w:sz="8" w:space="0" w:color="auto"/>
              <w:right w:val="single" w:sz="8" w:space="0" w:color="auto"/>
            </w:tcBorders>
            <w:vAlign w:val="center"/>
            <w:hideMark/>
          </w:tcPr>
          <w:p w14:paraId="4FC1073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Desarrollo</w:t>
            </w:r>
          </w:p>
        </w:tc>
        <w:tc>
          <w:tcPr>
            <w:tcW w:w="1780" w:type="dxa"/>
            <w:tcBorders>
              <w:top w:val="nil"/>
              <w:left w:val="nil"/>
              <w:bottom w:val="single" w:sz="8" w:space="0" w:color="auto"/>
              <w:right w:val="single" w:sz="8" w:space="0" w:color="auto"/>
            </w:tcBorders>
            <w:vAlign w:val="center"/>
            <w:hideMark/>
          </w:tcPr>
          <w:p w14:paraId="3B3F67F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Tipos de integración</w:t>
            </w:r>
          </w:p>
        </w:tc>
        <w:tc>
          <w:tcPr>
            <w:tcW w:w="5613" w:type="dxa"/>
            <w:tcBorders>
              <w:top w:val="nil"/>
              <w:left w:val="nil"/>
              <w:bottom w:val="single" w:sz="8" w:space="0" w:color="auto"/>
              <w:right w:val="single" w:sz="8" w:space="0" w:color="auto"/>
            </w:tcBorders>
            <w:vAlign w:val="center"/>
            <w:hideMark/>
          </w:tcPr>
          <w:p w14:paraId="0A83EFB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soportar múltiples tipos de integración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REST/JSON, mensajería, colas confiables, publicación/suscripción), garantizando interoperabilidad con sistemas internos y externos.</w:t>
            </w:r>
          </w:p>
        </w:tc>
      </w:tr>
      <w:tr w:rsidR="007A425E" w:rsidRPr="007A425E" w14:paraId="41DD83C0"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5DFCBF2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25</w:t>
            </w:r>
          </w:p>
        </w:tc>
        <w:tc>
          <w:tcPr>
            <w:tcW w:w="2996" w:type="dxa"/>
            <w:tcBorders>
              <w:top w:val="nil"/>
              <w:left w:val="nil"/>
              <w:bottom w:val="single" w:sz="8" w:space="0" w:color="auto"/>
              <w:right w:val="single" w:sz="8" w:space="0" w:color="auto"/>
            </w:tcBorders>
            <w:vAlign w:val="center"/>
            <w:hideMark/>
          </w:tcPr>
          <w:p w14:paraId="443F25F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Documental</w:t>
            </w:r>
          </w:p>
        </w:tc>
        <w:tc>
          <w:tcPr>
            <w:tcW w:w="1780" w:type="dxa"/>
            <w:tcBorders>
              <w:top w:val="nil"/>
              <w:left w:val="nil"/>
              <w:bottom w:val="single" w:sz="8" w:space="0" w:color="auto"/>
              <w:right w:val="single" w:sz="8" w:space="0" w:color="auto"/>
            </w:tcBorders>
            <w:vAlign w:val="center"/>
            <w:hideMark/>
          </w:tcPr>
          <w:p w14:paraId="45A09F4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ECM – Gestión Documental</w:t>
            </w:r>
          </w:p>
        </w:tc>
        <w:tc>
          <w:tcPr>
            <w:tcW w:w="5613" w:type="dxa"/>
            <w:tcBorders>
              <w:top w:val="nil"/>
              <w:left w:val="nil"/>
              <w:bottom w:val="single" w:sz="8" w:space="0" w:color="auto"/>
              <w:right w:val="single" w:sz="8" w:space="0" w:color="auto"/>
            </w:tcBorders>
            <w:vAlign w:val="center"/>
            <w:hideMark/>
          </w:tcPr>
          <w:p w14:paraId="3E0ADD6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ECM deberá soportar el estándar CMIS 1.1 para interoperabilidad con repositorios documentales existentes y futuros.  </w:t>
            </w:r>
          </w:p>
        </w:tc>
      </w:tr>
      <w:tr w:rsidR="007A425E" w:rsidRPr="007A425E" w14:paraId="7C482B90" w14:textId="77777777" w:rsidTr="007A425E">
        <w:trPr>
          <w:trHeight w:val="1668"/>
          <w:jc w:val="center"/>
        </w:trPr>
        <w:tc>
          <w:tcPr>
            <w:tcW w:w="800" w:type="dxa"/>
            <w:tcBorders>
              <w:top w:val="nil"/>
              <w:left w:val="single" w:sz="8" w:space="0" w:color="auto"/>
              <w:bottom w:val="single" w:sz="8" w:space="0" w:color="auto"/>
              <w:right w:val="single" w:sz="8" w:space="0" w:color="auto"/>
            </w:tcBorders>
            <w:vAlign w:val="center"/>
            <w:hideMark/>
          </w:tcPr>
          <w:p w14:paraId="6A143ED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26</w:t>
            </w:r>
          </w:p>
        </w:tc>
        <w:tc>
          <w:tcPr>
            <w:tcW w:w="2996" w:type="dxa"/>
            <w:tcBorders>
              <w:top w:val="nil"/>
              <w:left w:val="nil"/>
              <w:bottom w:val="single" w:sz="8" w:space="0" w:color="auto"/>
              <w:right w:val="single" w:sz="8" w:space="0" w:color="auto"/>
            </w:tcBorders>
            <w:vAlign w:val="center"/>
            <w:hideMark/>
          </w:tcPr>
          <w:p w14:paraId="25BB424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Operaciones</w:t>
            </w:r>
          </w:p>
        </w:tc>
        <w:tc>
          <w:tcPr>
            <w:tcW w:w="1780" w:type="dxa"/>
            <w:tcBorders>
              <w:top w:val="nil"/>
              <w:left w:val="nil"/>
              <w:bottom w:val="single" w:sz="8" w:space="0" w:color="auto"/>
              <w:right w:val="single" w:sz="8" w:space="0" w:color="auto"/>
            </w:tcBorders>
            <w:vAlign w:val="center"/>
            <w:hideMark/>
          </w:tcPr>
          <w:p w14:paraId="1BEB646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Documentación operativa</w:t>
            </w:r>
          </w:p>
        </w:tc>
        <w:tc>
          <w:tcPr>
            <w:tcW w:w="5613" w:type="dxa"/>
            <w:tcBorders>
              <w:top w:val="nil"/>
              <w:left w:val="nil"/>
              <w:bottom w:val="single" w:sz="8" w:space="0" w:color="auto"/>
              <w:right w:val="single" w:sz="8" w:space="0" w:color="auto"/>
            </w:tcBorders>
            <w:vAlign w:val="center"/>
            <w:hideMark/>
          </w:tcPr>
          <w:p w14:paraId="3077BADB"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entregar documentación técnica completa (arquitectura,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parametrización, seguridad</w:t>
            </w:r>
            <w:proofErr w:type="gramStart"/>
            <w:r w:rsidRPr="007A425E">
              <w:rPr>
                <w:rFonts w:ascii="Calibri" w:eastAsia="Times New Roman" w:hAnsi="Calibri" w:cs="Calibri"/>
                <w:color w:val="000000"/>
                <w:sz w:val="20"/>
                <w:szCs w:val="20"/>
                <w:lang w:eastAsia="es-EC"/>
              </w:rPr>
              <w:t>) ,</w:t>
            </w:r>
            <w:proofErr w:type="gramEnd"/>
            <w:r w:rsidRPr="007A425E">
              <w:rPr>
                <w:rFonts w:ascii="Calibri" w:eastAsia="Times New Roman" w:hAnsi="Calibri" w:cs="Calibri"/>
                <w:color w:val="000000"/>
                <w:sz w:val="20"/>
                <w:szCs w:val="20"/>
                <w:lang w:eastAsia="es-EC"/>
              </w:rPr>
              <w:t xml:space="preserve"> manuales de operación para administradores y usuarios finales, considerando también usuarios técnicos para la operación, desarrollo, pruebas, monitoreo entre otros, esta documentación debe contar con control de versiones y trazabilidad de cambios.</w:t>
            </w:r>
          </w:p>
        </w:tc>
      </w:tr>
      <w:tr w:rsidR="007A425E" w:rsidRPr="007A425E" w14:paraId="39DBEA98" w14:textId="77777777" w:rsidTr="007A425E">
        <w:trPr>
          <w:trHeight w:val="3048"/>
          <w:jc w:val="center"/>
        </w:trPr>
        <w:tc>
          <w:tcPr>
            <w:tcW w:w="800" w:type="dxa"/>
            <w:tcBorders>
              <w:top w:val="nil"/>
              <w:left w:val="single" w:sz="8" w:space="0" w:color="auto"/>
              <w:bottom w:val="single" w:sz="8" w:space="0" w:color="auto"/>
              <w:right w:val="single" w:sz="8" w:space="0" w:color="auto"/>
            </w:tcBorders>
            <w:vAlign w:val="center"/>
            <w:hideMark/>
          </w:tcPr>
          <w:p w14:paraId="77BC228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27</w:t>
            </w:r>
          </w:p>
        </w:tc>
        <w:tc>
          <w:tcPr>
            <w:tcW w:w="2996" w:type="dxa"/>
            <w:tcBorders>
              <w:top w:val="nil"/>
              <w:left w:val="nil"/>
              <w:bottom w:val="single" w:sz="8" w:space="0" w:color="auto"/>
              <w:right w:val="single" w:sz="8" w:space="0" w:color="auto"/>
            </w:tcBorders>
            <w:vAlign w:val="center"/>
            <w:hideMark/>
          </w:tcPr>
          <w:p w14:paraId="07849DF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 / Operaciones</w:t>
            </w:r>
          </w:p>
        </w:tc>
        <w:tc>
          <w:tcPr>
            <w:tcW w:w="1780" w:type="dxa"/>
            <w:tcBorders>
              <w:top w:val="nil"/>
              <w:left w:val="nil"/>
              <w:bottom w:val="single" w:sz="8" w:space="0" w:color="auto"/>
              <w:right w:val="single" w:sz="8" w:space="0" w:color="auto"/>
            </w:tcBorders>
            <w:vAlign w:val="center"/>
            <w:hideMark/>
          </w:tcPr>
          <w:p w14:paraId="05AD8E6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Rendimiento General</w:t>
            </w:r>
          </w:p>
        </w:tc>
        <w:tc>
          <w:tcPr>
            <w:tcW w:w="5613" w:type="dxa"/>
            <w:tcBorders>
              <w:top w:val="nil"/>
              <w:left w:val="nil"/>
              <w:bottom w:val="single" w:sz="8" w:space="0" w:color="auto"/>
              <w:right w:val="single" w:sz="8" w:space="0" w:color="auto"/>
            </w:tcBorders>
            <w:vAlign w:val="center"/>
            <w:hideMark/>
          </w:tcPr>
          <w:p w14:paraId="6E3D1F0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ejecutar operaciones de forma eficiente y confiable, cumpliendo tiempos de respuesta: menos de 2 segundos promedio por operación, máximo 5 segundos en horas pico, y procesos masivos (más de 15,000 instancias) deberán completarse en menos de 15 minutos bajo condiciones de carga normal. El cumplimiento de estas métricas estará sujeto a la infraestructura institucional en modalidad </w:t>
            </w:r>
            <w:proofErr w:type="spellStart"/>
            <w:r w:rsidRPr="007A425E">
              <w:rPr>
                <w:rFonts w:ascii="Calibri" w:eastAsia="Times New Roman" w:hAnsi="Calibri" w:cs="Calibri"/>
                <w:color w:val="000000"/>
                <w:sz w:val="20"/>
                <w:szCs w:val="20"/>
                <w:lang w:eastAsia="es-EC"/>
              </w:rPr>
              <w:t>On</w:t>
            </w:r>
            <w:proofErr w:type="spellEnd"/>
            <w:r w:rsidRPr="007A425E">
              <w:rPr>
                <w:rFonts w:ascii="Calibri" w:eastAsia="Times New Roman" w:hAnsi="Calibri" w:cs="Calibri"/>
                <w:color w:val="000000"/>
                <w:sz w:val="20"/>
                <w:szCs w:val="20"/>
                <w:lang w:eastAsia="es-EC"/>
              </w:rPr>
              <w:t>-Premise, al volumen de archivos y servicios integrados, y a la carga operacional existente. El proveedor deberá realizar pruebas de carga y estrés, y recomendar el hardware necesario para garantizar que la solución pueda alcanzar los tiempos definidos en condiciones representativas.</w:t>
            </w:r>
          </w:p>
        </w:tc>
      </w:tr>
      <w:tr w:rsidR="007A425E" w:rsidRPr="007A425E" w14:paraId="27101081" w14:textId="77777777" w:rsidTr="007A425E">
        <w:trPr>
          <w:trHeight w:val="1116"/>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44C392B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28</w:t>
            </w:r>
          </w:p>
        </w:tc>
        <w:tc>
          <w:tcPr>
            <w:tcW w:w="2996" w:type="dxa"/>
            <w:vMerge w:val="restart"/>
            <w:tcBorders>
              <w:top w:val="nil"/>
              <w:left w:val="single" w:sz="8" w:space="0" w:color="auto"/>
              <w:bottom w:val="single" w:sz="8" w:space="0" w:color="000000"/>
              <w:right w:val="single" w:sz="8" w:space="0" w:color="auto"/>
            </w:tcBorders>
            <w:vAlign w:val="center"/>
            <w:hideMark/>
          </w:tcPr>
          <w:p w14:paraId="1DE0A451" w14:textId="0467DF1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vMerge w:val="restart"/>
            <w:tcBorders>
              <w:top w:val="nil"/>
              <w:left w:val="single" w:sz="8" w:space="0" w:color="auto"/>
              <w:bottom w:val="single" w:sz="8" w:space="0" w:color="000000"/>
              <w:right w:val="single" w:sz="8" w:space="0" w:color="auto"/>
            </w:tcBorders>
            <w:vAlign w:val="center"/>
            <w:hideMark/>
          </w:tcPr>
          <w:p w14:paraId="4E0C7A7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Accesibilidad y Usabilidad</w:t>
            </w:r>
          </w:p>
        </w:tc>
        <w:tc>
          <w:tcPr>
            <w:tcW w:w="5613" w:type="dxa"/>
            <w:tcBorders>
              <w:top w:val="nil"/>
              <w:left w:val="nil"/>
              <w:bottom w:val="single" w:sz="8" w:space="0" w:color="auto"/>
              <w:right w:val="single" w:sz="8" w:space="0" w:color="auto"/>
            </w:tcBorders>
            <w:vAlign w:val="center"/>
            <w:hideMark/>
          </w:tcPr>
          <w:p w14:paraId="4FC3D6B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cumplir WCAG 2.1 AA o superior, con interfaces accesibles, responsivas y consistentes. Deberá permitir personalización, navegación sencilla y acceso desde dispositivos móviles.</w:t>
            </w:r>
          </w:p>
        </w:tc>
      </w:tr>
      <w:tr w:rsidR="007A425E" w:rsidRPr="007A425E" w14:paraId="052EBB5D" w14:textId="77777777" w:rsidTr="007A425E">
        <w:trPr>
          <w:trHeight w:val="840"/>
          <w:jc w:val="center"/>
        </w:trPr>
        <w:tc>
          <w:tcPr>
            <w:tcW w:w="800" w:type="dxa"/>
            <w:vMerge/>
            <w:tcBorders>
              <w:top w:val="nil"/>
              <w:left w:val="single" w:sz="8" w:space="0" w:color="auto"/>
              <w:bottom w:val="single" w:sz="8" w:space="0" w:color="000000"/>
              <w:right w:val="single" w:sz="8" w:space="0" w:color="auto"/>
            </w:tcBorders>
            <w:vAlign w:val="center"/>
            <w:hideMark/>
          </w:tcPr>
          <w:p w14:paraId="2E55F44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289830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074ED6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00C448EF"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Además de proveer manuales de usuario, guías de operación y programas de capacitación para garantizar la correcta adopción por parte de los usuarios institucionales.</w:t>
            </w:r>
          </w:p>
        </w:tc>
      </w:tr>
      <w:tr w:rsidR="007A425E" w:rsidRPr="007A425E" w14:paraId="663DEB30"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6CD69DA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29</w:t>
            </w:r>
          </w:p>
        </w:tc>
        <w:tc>
          <w:tcPr>
            <w:tcW w:w="2996" w:type="dxa"/>
            <w:tcBorders>
              <w:top w:val="nil"/>
              <w:left w:val="nil"/>
              <w:bottom w:val="single" w:sz="8" w:space="0" w:color="auto"/>
              <w:right w:val="single" w:sz="8" w:space="0" w:color="auto"/>
            </w:tcBorders>
            <w:vAlign w:val="center"/>
            <w:hideMark/>
          </w:tcPr>
          <w:p w14:paraId="006ADDD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w:t>
            </w:r>
          </w:p>
        </w:tc>
        <w:tc>
          <w:tcPr>
            <w:tcW w:w="1780" w:type="dxa"/>
            <w:tcBorders>
              <w:top w:val="nil"/>
              <w:left w:val="nil"/>
              <w:bottom w:val="single" w:sz="8" w:space="0" w:color="auto"/>
              <w:right w:val="single" w:sz="8" w:space="0" w:color="auto"/>
            </w:tcBorders>
            <w:vAlign w:val="center"/>
            <w:hideMark/>
          </w:tcPr>
          <w:p w14:paraId="1ECDC80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Automatización</w:t>
            </w:r>
          </w:p>
        </w:tc>
        <w:tc>
          <w:tcPr>
            <w:tcW w:w="5613" w:type="dxa"/>
            <w:tcBorders>
              <w:top w:val="nil"/>
              <w:left w:val="nil"/>
              <w:bottom w:val="single" w:sz="8" w:space="0" w:color="auto"/>
              <w:right w:val="single" w:sz="8" w:space="0" w:color="auto"/>
            </w:tcBorders>
            <w:vAlign w:val="center"/>
            <w:hideMark/>
          </w:tcPr>
          <w:p w14:paraId="57800B4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incorporar automatización como principio, garantizando que procesos replicables e inmutables se ejecuten de forma automática y eficiente.</w:t>
            </w:r>
          </w:p>
        </w:tc>
      </w:tr>
      <w:tr w:rsidR="007A425E" w:rsidRPr="007A425E" w14:paraId="3EE8C503"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707475B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30</w:t>
            </w:r>
          </w:p>
        </w:tc>
        <w:tc>
          <w:tcPr>
            <w:tcW w:w="2996" w:type="dxa"/>
            <w:tcBorders>
              <w:top w:val="nil"/>
              <w:left w:val="nil"/>
              <w:bottom w:val="single" w:sz="8" w:space="0" w:color="auto"/>
              <w:right w:val="single" w:sz="8" w:space="0" w:color="auto"/>
            </w:tcBorders>
            <w:vAlign w:val="center"/>
            <w:hideMark/>
          </w:tcPr>
          <w:p w14:paraId="3ED5C3A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w:t>
            </w:r>
          </w:p>
        </w:tc>
        <w:tc>
          <w:tcPr>
            <w:tcW w:w="1780" w:type="dxa"/>
            <w:tcBorders>
              <w:top w:val="nil"/>
              <w:left w:val="nil"/>
              <w:bottom w:val="single" w:sz="8" w:space="0" w:color="auto"/>
              <w:right w:val="single" w:sz="8" w:space="0" w:color="auto"/>
            </w:tcBorders>
            <w:vAlign w:val="center"/>
            <w:hideMark/>
          </w:tcPr>
          <w:p w14:paraId="29C0B2F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Parametrización</w:t>
            </w:r>
          </w:p>
        </w:tc>
        <w:tc>
          <w:tcPr>
            <w:tcW w:w="5613" w:type="dxa"/>
            <w:tcBorders>
              <w:top w:val="nil"/>
              <w:left w:val="nil"/>
              <w:bottom w:val="single" w:sz="8" w:space="0" w:color="auto"/>
              <w:right w:val="single" w:sz="8" w:space="0" w:color="auto"/>
            </w:tcBorders>
            <w:vAlign w:val="center"/>
            <w:hideMark/>
          </w:tcPr>
          <w:p w14:paraId="609E95E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parametrización nativa, gestionando configuraciones y parámetros de forma flexible y segura.</w:t>
            </w:r>
          </w:p>
        </w:tc>
      </w:tr>
      <w:tr w:rsidR="007A425E" w:rsidRPr="007A425E" w14:paraId="083CBB4E"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02DAC9A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31</w:t>
            </w:r>
          </w:p>
        </w:tc>
        <w:tc>
          <w:tcPr>
            <w:tcW w:w="2996" w:type="dxa"/>
            <w:tcBorders>
              <w:top w:val="nil"/>
              <w:left w:val="nil"/>
              <w:bottom w:val="single" w:sz="8" w:space="0" w:color="auto"/>
              <w:right w:val="single" w:sz="8" w:space="0" w:color="auto"/>
            </w:tcBorders>
            <w:vAlign w:val="center"/>
            <w:hideMark/>
          </w:tcPr>
          <w:p w14:paraId="1E75C82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w:t>
            </w:r>
          </w:p>
        </w:tc>
        <w:tc>
          <w:tcPr>
            <w:tcW w:w="1780" w:type="dxa"/>
            <w:tcBorders>
              <w:top w:val="nil"/>
              <w:left w:val="nil"/>
              <w:bottom w:val="single" w:sz="8" w:space="0" w:color="auto"/>
              <w:right w:val="single" w:sz="8" w:space="0" w:color="auto"/>
            </w:tcBorders>
            <w:vAlign w:val="center"/>
            <w:hideMark/>
          </w:tcPr>
          <w:p w14:paraId="278D6A6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Sostenibilidad y autonomía</w:t>
            </w:r>
          </w:p>
        </w:tc>
        <w:tc>
          <w:tcPr>
            <w:tcW w:w="5613" w:type="dxa"/>
            <w:tcBorders>
              <w:top w:val="nil"/>
              <w:left w:val="nil"/>
              <w:bottom w:val="single" w:sz="8" w:space="0" w:color="auto"/>
              <w:right w:val="single" w:sz="8" w:space="0" w:color="auto"/>
            </w:tcBorders>
            <w:vAlign w:val="center"/>
            <w:hideMark/>
          </w:tcPr>
          <w:p w14:paraId="7736B14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suite deberá permitir operaciones sin dependencia técnica del contratista, priorizando parametrización sobre desarrollo.</w:t>
            </w:r>
          </w:p>
        </w:tc>
      </w:tr>
      <w:tr w:rsidR="007A425E" w:rsidRPr="007A425E" w14:paraId="2B51D3D7"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1CEA5B3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32</w:t>
            </w:r>
          </w:p>
        </w:tc>
        <w:tc>
          <w:tcPr>
            <w:tcW w:w="2996" w:type="dxa"/>
            <w:tcBorders>
              <w:top w:val="nil"/>
              <w:left w:val="nil"/>
              <w:bottom w:val="single" w:sz="8" w:space="0" w:color="auto"/>
              <w:right w:val="single" w:sz="8" w:space="0" w:color="auto"/>
            </w:tcBorders>
            <w:vAlign w:val="center"/>
            <w:hideMark/>
          </w:tcPr>
          <w:p w14:paraId="65B9B8B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Operaciones</w:t>
            </w:r>
          </w:p>
        </w:tc>
        <w:tc>
          <w:tcPr>
            <w:tcW w:w="1780" w:type="dxa"/>
            <w:tcBorders>
              <w:top w:val="nil"/>
              <w:left w:val="nil"/>
              <w:bottom w:val="single" w:sz="8" w:space="0" w:color="auto"/>
              <w:right w:val="single" w:sz="8" w:space="0" w:color="auto"/>
            </w:tcBorders>
            <w:vAlign w:val="center"/>
            <w:hideMark/>
          </w:tcPr>
          <w:p w14:paraId="20F175F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roofErr w:type="spellStart"/>
            <w:r w:rsidRPr="007A425E">
              <w:rPr>
                <w:rFonts w:ascii="Calibri" w:eastAsia="Times New Roman" w:hAnsi="Calibri" w:cs="Calibri"/>
                <w:color w:val="000000"/>
                <w:sz w:val="20"/>
                <w:szCs w:val="20"/>
                <w:lang w:eastAsia="es-EC"/>
              </w:rPr>
              <w:t>Chatbots</w:t>
            </w:r>
            <w:proofErr w:type="spellEnd"/>
          </w:p>
        </w:tc>
        <w:tc>
          <w:tcPr>
            <w:tcW w:w="5613" w:type="dxa"/>
            <w:tcBorders>
              <w:top w:val="nil"/>
              <w:left w:val="nil"/>
              <w:bottom w:val="single" w:sz="8" w:space="0" w:color="auto"/>
              <w:right w:val="single" w:sz="8" w:space="0" w:color="auto"/>
            </w:tcBorders>
            <w:vAlign w:val="center"/>
            <w:hideMark/>
          </w:tcPr>
          <w:p w14:paraId="6A46705F"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permitir integración con </w:t>
            </w:r>
            <w:proofErr w:type="spellStart"/>
            <w:r w:rsidRPr="007A425E">
              <w:rPr>
                <w:rFonts w:ascii="Calibri" w:eastAsia="Times New Roman" w:hAnsi="Calibri" w:cs="Calibri"/>
                <w:color w:val="000000"/>
                <w:sz w:val="20"/>
                <w:szCs w:val="20"/>
                <w:lang w:eastAsia="es-EC"/>
              </w:rPr>
              <w:t>chatbots</w:t>
            </w:r>
            <w:proofErr w:type="spellEnd"/>
            <w:r w:rsidRPr="007A425E">
              <w:rPr>
                <w:rFonts w:ascii="Calibri" w:eastAsia="Times New Roman" w:hAnsi="Calibri" w:cs="Calibri"/>
                <w:color w:val="000000"/>
                <w:sz w:val="20"/>
                <w:szCs w:val="20"/>
                <w:lang w:eastAsia="es-EC"/>
              </w:rPr>
              <w:t xml:space="preserve"> o asistentes virtuales, facilitando atención automatizada a usuarios internos y externos.</w:t>
            </w:r>
          </w:p>
        </w:tc>
      </w:tr>
      <w:tr w:rsidR="007A425E" w:rsidRPr="007A425E" w14:paraId="07142EE1" w14:textId="77777777" w:rsidTr="007A425E">
        <w:trPr>
          <w:trHeight w:val="1944"/>
          <w:jc w:val="center"/>
        </w:trPr>
        <w:tc>
          <w:tcPr>
            <w:tcW w:w="800" w:type="dxa"/>
            <w:tcBorders>
              <w:top w:val="nil"/>
              <w:left w:val="single" w:sz="8" w:space="0" w:color="auto"/>
              <w:bottom w:val="single" w:sz="8" w:space="0" w:color="auto"/>
              <w:right w:val="single" w:sz="8" w:space="0" w:color="auto"/>
            </w:tcBorders>
            <w:vAlign w:val="center"/>
            <w:hideMark/>
          </w:tcPr>
          <w:p w14:paraId="7D38A51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33</w:t>
            </w:r>
          </w:p>
        </w:tc>
        <w:tc>
          <w:tcPr>
            <w:tcW w:w="2996" w:type="dxa"/>
            <w:tcBorders>
              <w:top w:val="nil"/>
              <w:left w:val="nil"/>
              <w:bottom w:val="single" w:sz="8" w:space="0" w:color="auto"/>
              <w:right w:val="single" w:sz="8" w:space="0" w:color="auto"/>
            </w:tcBorders>
            <w:vAlign w:val="center"/>
            <w:hideMark/>
          </w:tcPr>
          <w:p w14:paraId="01222FD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Operaciones</w:t>
            </w:r>
          </w:p>
        </w:tc>
        <w:tc>
          <w:tcPr>
            <w:tcW w:w="1780" w:type="dxa"/>
            <w:tcBorders>
              <w:top w:val="nil"/>
              <w:left w:val="nil"/>
              <w:bottom w:val="single" w:sz="8" w:space="0" w:color="auto"/>
              <w:right w:val="single" w:sz="8" w:space="0" w:color="auto"/>
            </w:tcBorders>
            <w:vAlign w:val="center"/>
            <w:hideMark/>
          </w:tcPr>
          <w:p w14:paraId="1792CFE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Parametrización avanzada</w:t>
            </w:r>
          </w:p>
        </w:tc>
        <w:tc>
          <w:tcPr>
            <w:tcW w:w="5613" w:type="dxa"/>
            <w:tcBorders>
              <w:top w:val="nil"/>
              <w:left w:val="nil"/>
              <w:bottom w:val="single" w:sz="8" w:space="0" w:color="auto"/>
              <w:right w:val="single" w:sz="8" w:space="0" w:color="auto"/>
            </w:tcBorders>
            <w:vAlign w:val="center"/>
            <w:hideMark/>
          </w:tcPr>
          <w:p w14:paraId="763FC27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parametrización de procesos, reglas y conectores sin necesidad de desarrollo adicional, entregando un set de casos de uso implementados y validados como parte del proyecto, con plantillas reutilizables para futuros casos. En aquellos escenarios donde se requiera desarrollo o integración adicional, el proveedor deberá justificarlo y asegurar que se mantenga la trazabilidad y la reutilización de componentes.</w:t>
            </w:r>
          </w:p>
        </w:tc>
      </w:tr>
      <w:tr w:rsidR="007A425E" w:rsidRPr="007A425E" w14:paraId="2A51B6F9" w14:textId="77777777" w:rsidTr="007A425E">
        <w:trPr>
          <w:trHeight w:val="2220"/>
          <w:jc w:val="center"/>
        </w:trPr>
        <w:tc>
          <w:tcPr>
            <w:tcW w:w="800" w:type="dxa"/>
            <w:tcBorders>
              <w:top w:val="nil"/>
              <w:left w:val="single" w:sz="8" w:space="0" w:color="auto"/>
              <w:bottom w:val="single" w:sz="8" w:space="0" w:color="auto"/>
              <w:right w:val="single" w:sz="8" w:space="0" w:color="auto"/>
            </w:tcBorders>
            <w:vAlign w:val="center"/>
            <w:hideMark/>
          </w:tcPr>
          <w:p w14:paraId="2C572F4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34</w:t>
            </w:r>
          </w:p>
        </w:tc>
        <w:tc>
          <w:tcPr>
            <w:tcW w:w="2996" w:type="dxa"/>
            <w:tcBorders>
              <w:top w:val="nil"/>
              <w:left w:val="nil"/>
              <w:bottom w:val="single" w:sz="8" w:space="0" w:color="auto"/>
              <w:right w:val="single" w:sz="8" w:space="0" w:color="auto"/>
            </w:tcBorders>
            <w:vAlign w:val="center"/>
            <w:hideMark/>
          </w:tcPr>
          <w:p w14:paraId="27BE745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QA</w:t>
            </w:r>
          </w:p>
        </w:tc>
        <w:tc>
          <w:tcPr>
            <w:tcW w:w="1780" w:type="dxa"/>
            <w:tcBorders>
              <w:top w:val="nil"/>
              <w:left w:val="nil"/>
              <w:bottom w:val="single" w:sz="8" w:space="0" w:color="auto"/>
              <w:right w:val="single" w:sz="8" w:space="0" w:color="auto"/>
            </w:tcBorders>
            <w:vAlign w:val="center"/>
            <w:hideMark/>
          </w:tcPr>
          <w:p w14:paraId="5081FF8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roofErr w:type="spellStart"/>
            <w:r w:rsidRPr="007A425E">
              <w:rPr>
                <w:rFonts w:ascii="Calibri" w:eastAsia="Times New Roman" w:hAnsi="Calibri" w:cs="Calibri"/>
                <w:color w:val="000000"/>
                <w:sz w:val="20"/>
                <w:szCs w:val="20"/>
                <w:lang w:eastAsia="es-EC"/>
              </w:rPr>
              <w:t>DevSecOps</w:t>
            </w:r>
            <w:proofErr w:type="spellEnd"/>
            <w:r w:rsidRPr="007A425E">
              <w:rPr>
                <w:rFonts w:ascii="Calibri" w:eastAsia="Times New Roman" w:hAnsi="Calibri" w:cs="Calibri"/>
                <w:color w:val="000000"/>
                <w:sz w:val="20"/>
                <w:szCs w:val="20"/>
                <w:lang w:eastAsia="es-EC"/>
              </w:rPr>
              <w:t xml:space="preserve"> / </w:t>
            </w:r>
            <w:proofErr w:type="spellStart"/>
            <w:r w:rsidRPr="007A425E">
              <w:rPr>
                <w:rFonts w:ascii="Calibri" w:eastAsia="Times New Roman" w:hAnsi="Calibri" w:cs="Calibri"/>
                <w:color w:val="000000"/>
                <w:sz w:val="20"/>
                <w:szCs w:val="20"/>
                <w:lang w:eastAsia="es-EC"/>
              </w:rPr>
              <w:t>DataOps</w:t>
            </w:r>
            <w:proofErr w:type="spellEnd"/>
          </w:p>
        </w:tc>
        <w:tc>
          <w:tcPr>
            <w:tcW w:w="5613" w:type="dxa"/>
            <w:tcBorders>
              <w:top w:val="nil"/>
              <w:left w:val="nil"/>
              <w:bottom w:val="single" w:sz="8" w:space="0" w:color="auto"/>
              <w:right w:val="single" w:sz="8" w:space="0" w:color="auto"/>
            </w:tcBorders>
            <w:vAlign w:val="center"/>
            <w:hideMark/>
          </w:tcPr>
          <w:p w14:paraId="2633BFC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integrar prácticas </w:t>
            </w:r>
            <w:proofErr w:type="spellStart"/>
            <w:r w:rsidRPr="007A425E">
              <w:rPr>
                <w:rFonts w:ascii="Calibri" w:eastAsia="Times New Roman" w:hAnsi="Calibri" w:cs="Calibri"/>
                <w:color w:val="000000"/>
                <w:sz w:val="20"/>
                <w:szCs w:val="20"/>
                <w:lang w:eastAsia="es-EC"/>
              </w:rPr>
              <w:t>DevSecOps</w:t>
            </w:r>
            <w:proofErr w:type="spellEnd"/>
            <w:r w:rsidRPr="007A425E">
              <w:rPr>
                <w:rFonts w:ascii="Calibri" w:eastAsia="Times New Roman" w:hAnsi="Calibri" w:cs="Calibri"/>
                <w:color w:val="000000"/>
                <w:sz w:val="20"/>
                <w:szCs w:val="20"/>
                <w:lang w:eastAsia="es-EC"/>
              </w:rPr>
              <w:t>, automatizando desarrollo, pruebas, seguridad y operación mediante pipelines estandarizados.  En caso de que la institución no cuente con una plataforma DevOps/</w:t>
            </w:r>
            <w:proofErr w:type="spellStart"/>
            <w:r w:rsidRPr="007A425E">
              <w:rPr>
                <w:rFonts w:ascii="Calibri" w:eastAsia="Times New Roman" w:hAnsi="Calibri" w:cs="Calibri"/>
                <w:color w:val="000000"/>
                <w:sz w:val="20"/>
                <w:szCs w:val="20"/>
                <w:lang w:eastAsia="es-EC"/>
              </w:rPr>
              <w:t>DevSecOps</w:t>
            </w:r>
            <w:proofErr w:type="spellEnd"/>
            <w:r w:rsidRPr="007A425E">
              <w:rPr>
                <w:rFonts w:ascii="Calibri" w:eastAsia="Times New Roman" w:hAnsi="Calibri" w:cs="Calibri"/>
                <w:color w:val="000000"/>
                <w:sz w:val="20"/>
                <w:szCs w:val="20"/>
                <w:lang w:eastAsia="es-EC"/>
              </w:rPr>
              <w:t xml:space="preserve"> definida, el proveedor deberá proveer o recomendar las herramientas necesarias para implementar estas prácticas, garantizando su integración con la infraestructura institucional y asegurando trazabilidad, seguridad y eficiencia en el ciclo de vida de las aplicaciones.</w:t>
            </w:r>
          </w:p>
        </w:tc>
      </w:tr>
      <w:tr w:rsidR="007A425E" w:rsidRPr="007A425E" w14:paraId="7B695DE8"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1BE53B5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35</w:t>
            </w:r>
          </w:p>
        </w:tc>
        <w:tc>
          <w:tcPr>
            <w:tcW w:w="2996" w:type="dxa"/>
            <w:tcBorders>
              <w:top w:val="nil"/>
              <w:left w:val="nil"/>
              <w:bottom w:val="single" w:sz="8" w:space="0" w:color="auto"/>
              <w:right w:val="single" w:sz="8" w:space="0" w:color="auto"/>
            </w:tcBorders>
            <w:vAlign w:val="center"/>
            <w:hideMark/>
          </w:tcPr>
          <w:p w14:paraId="442213A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 / QA</w:t>
            </w:r>
          </w:p>
        </w:tc>
        <w:tc>
          <w:tcPr>
            <w:tcW w:w="1780" w:type="dxa"/>
            <w:tcBorders>
              <w:top w:val="nil"/>
              <w:left w:val="nil"/>
              <w:bottom w:val="single" w:sz="8" w:space="0" w:color="auto"/>
              <w:right w:val="single" w:sz="8" w:space="0" w:color="auto"/>
            </w:tcBorders>
            <w:vAlign w:val="center"/>
            <w:hideMark/>
          </w:tcPr>
          <w:p w14:paraId="6A58DD7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Mantenibilidad / Control de versiones</w:t>
            </w:r>
          </w:p>
        </w:tc>
        <w:tc>
          <w:tcPr>
            <w:tcW w:w="5613" w:type="dxa"/>
            <w:tcBorders>
              <w:top w:val="nil"/>
              <w:left w:val="nil"/>
              <w:bottom w:val="single" w:sz="8" w:space="0" w:color="auto"/>
              <w:right w:val="single" w:sz="8" w:space="0" w:color="auto"/>
            </w:tcBorders>
            <w:vAlign w:val="center"/>
            <w:hideMark/>
          </w:tcPr>
          <w:p w14:paraId="6E34D20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mecanismos nativos de control de versiones para procesos, reglas, expedientes y código, con flujos formales de liberación y trazabilidad.</w:t>
            </w:r>
          </w:p>
        </w:tc>
      </w:tr>
      <w:tr w:rsidR="007A425E" w:rsidRPr="007A425E" w14:paraId="0548927C"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14447CB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36</w:t>
            </w:r>
          </w:p>
        </w:tc>
        <w:tc>
          <w:tcPr>
            <w:tcW w:w="2996" w:type="dxa"/>
            <w:tcBorders>
              <w:top w:val="nil"/>
              <w:left w:val="nil"/>
              <w:bottom w:val="single" w:sz="8" w:space="0" w:color="auto"/>
              <w:right w:val="single" w:sz="8" w:space="0" w:color="auto"/>
            </w:tcBorders>
            <w:vAlign w:val="center"/>
            <w:hideMark/>
          </w:tcPr>
          <w:p w14:paraId="2270BCC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Funcional</w:t>
            </w:r>
          </w:p>
        </w:tc>
        <w:tc>
          <w:tcPr>
            <w:tcW w:w="1780" w:type="dxa"/>
            <w:tcBorders>
              <w:top w:val="nil"/>
              <w:left w:val="nil"/>
              <w:bottom w:val="single" w:sz="8" w:space="0" w:color="auto"/>
              <w:right w:val="single" w:sz="8" w:space="0" w:color="auto"/>
            </w:tcBorders>
            <w:vAlign w:val="center"/>
            <w:hideMark/>
          </w:tcPr>
          <w:p w14:paraId="5A06679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Confidencialidad contractual</w:t>
            </w:r>
          </w:p>
        </w:tc>
        <w:tc>
          <w:tcPr>
            <w:tcW w:w="5613" w:type="dxa"/>
            <w:tcBorders>
              <w:top w:val="nil"/>
              <w:left w:val="nil"/>
              <w:bottom w:val="single" w:sz="8" w:space="0" w:color="auto"/>
              <w:right w:val="single" w:sz="8" w:space="0" w:color="auto"/>
            </w:tcBorders>
            <w:vAlign w:val="center"/>
            <w:hideMark/>
          </w:tcPr>
          <w:p w14:paraId="42C11B7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garantizar confidencialidad sobre configuración, protocolos, topología y costos, conforme cláusula contractual.</w:t>
            </w:r>
          </w:p>
        </w:tc>
      </w:tr>
      <w:tr w:rsidR="007A425E" w:rsidRPr="007A425E" w14:paraId="4CF70587"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4C284D2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37</w:t>
            </w:r>
          </w:p>
        </w:tc>
        <w:tc>
          <w:tcPr>
            <w:tcW w:w="2996" w:type="dxa"/>
            <w:tcBorders>
              <w:top w:val="nil"/>
              <w:left w:val="nil"/>
              <w:bottom w:val="single" w:sz="8" w:space="0" w:color="auto"/>
              <w:right w:val="single" w:sz="8" w:space="0" w:color="auto"/>
            </w:tcBorders>
            <w:vAlign w:val="center"/>
            <w:hideMark/>
          </w:tcPr>
          <w:p w14:paraId="4123B9A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Gestión de Proyecto</w:t>
            </w:r>
          </w:p>
        </w:tc>
        <w:tc>
          <w:tcPr>
            <w:tcW w:w="1780" w:type="dxa"/>
            <w:tcBorders>
              <w:top w:val="nil"/>
              <w:left w:val="nil"/>
              <w:bottom w:val="single" w:sz="8" w:space="0" w:color="auto"/>
              <w:right w:val="single" w:sz="8" w:space="0" w:color="auto"/>
            </w:tcBorders>
            <w:vAlign w:val="center"/>
            <w:hideMark/>
          </w:tcPr>
          <w:p w14:paraId="12967DF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Personal asignado</w:t>
            </w:r>
          </w:p>
        </w:tc>
        <w:tc>
          <w:tcPr>
            <w:tcW w:w="5613" w:type="dxa"/>
            <w:tcBorders>
              <w:top w:val="nil"/>
              <w:left w:val="nil"/>
              <w:bottom w:val="single" w:sz="8" w:space="0" w:color="auto"/>
              <w:right w:val="single" w:sz="8" w:space="0" w:color="auto"/>
            </w:tcBorders>
            <w:vAlign w:val="center"/>
            <w:hideMark/>
          </w:tcPr>
          <w:p w14:paraId="326AF99F"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contratista deberá designar personal técnico acreditado y responsable de la implementación.</w:t>
            </w:r>
          </w:p>
        </w:tc>
      </w:tr>
      <w:tr w:rsidR="007A425E" w:rsidRPr="007A425E" w14:paraId="7F3EADDF"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3B9BF1C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38</w:t>
            </w:r>
          </w:p>
        </w:tc>
        <w:tc>
          <w:tcPr>
            <w:tcW w:w="2996" w:type="dxa"/>
            <w:tcBorders>
              <w:top w:val="nil"/>
              <w:left w:val="nil"/>
              <w:bottom w:val="single" w:sz="8" w:space="0" w:color="auto"/>
              <w:right w:val="single" w:sz="8" w:space="0" w:color="auto"/>
            </w:tcBorders>
            <w:vAlign w:val="center"/>
            <w:hideMark/>
          </w:tcPr>
          <w:p w14:paraId="6897EC3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274DA9F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Activación de soporte</w:t>
            </w:r>
          </w:p>
        </w:tc>
        <w:tc>
          <w:tcPr>
            <w:tcW w:w="5613" w:type="dxa"/>
            <w:tcBorders>
              <w:top w:val="nil"/>
              <w:left w:val="nil"/>
              <w:bottom w:val="single" w:sz="8" w:space="0" w:color="auto"/>
              <w:right w:val="single" w:sz="8" w:space="0" w:color="auto"/>
            </w:tcBorders>
            <w:vAlign w:val="center"/>
            <w:hideMark/>
          </w:tcPr>
          <w:p w14:paraId="697D194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activación del soporte de fábrica, con informe detallado de activación, vigencia, procedimientos de registro de casos y designación de personal de contacto.</w:t>
            </w:r>
          </w:p>
        </w:tc>
      </w:tr>
      <w:tr w:rsidR="007A425E" w:rsidRPr="007A425E" w14:paraId="3EC213D2"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22A14D5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39</w:t>
            </w:r>
          </w:p>
        </w:tc>
        <w:tc>
          <w:tcPr>
            <w:tcW w:w="2996" w:type="dxa"/>
            <w:tcBorders>
              <w:top w:val="nil"/>
              <w:left w:val="nil"/>
              <w:bottom w:val="single" w:sz="8" w:space="0" w:color="auto"/>
              <w:right w:val="single" w:sz="8" w:space="0" w:color="auto"/>
            </w:tcBorders>
            <w:vAlign w:val="center"/>
            <w:hideMark/>
          </w:tcPr>
          <w:p w14:paraId="212173F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1B6A0D9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Administración de ambientes</w:t>
            </w:r>
          </w:p>
        </w:tc>
        <w:tc>
          <w:tcPr>
            <w:tcW w:w="5613" w:type="dxa"/>
            <w:tcBorders>
              <w:top w:val="nil"/>
              <w:left w:val="nil"/>
              <w:bottom w:val="single" w:sz="8" w:space="0" w:color="auto"/>
              <w:right w:val="single" w:sz="8" w:space="0" w:color="auto"/>
            </w:tcBorders>
            <w:vAlign w:val="center"/>
            <w:hideMark/>
          </w:tcPr>
          <w:p w14:paraId="4E982B4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Definir procedimientos de administración de cada ambiente productivo, contingencia y no productivo incluyendo replicación controlada y generación de </w:t>
            </w:r>
            <w:proofErr w:type="spellStart"/>
            <w:r w:rsidRPr="007A425E">
              <w:rPr>
                <w:rFonts w:ascii="Calibri" w:eastAsia="Times New Roman" w:hAnsi="Calibri" w:cs="Calibri"/>
                <w:color w:val="000000"/>
                <w:sz w:val="20"/>
                <w:szCs w:val="20"/>
                <w:lang w:eastAsia="es-EC"/>
              </w:rPr>
              <w:t>datasets</w:t>
            </w:r>
            <w:proofErr w:type="spellEnd"/>
            <w:r w:rsidRPr="007A425E">
              <w:rPr>
                <w:rFonts w:ascii="Calibri" w:eastAsia="Times New Roman" w:hAnsi="Calibri" w:cs="Calibri"/>
                <w:color w:val="000000"/>
                <w:sz w:val="20"/>
                <w:szCs w:val="20"/>
                <w:lang w:eastAsia="es-EC"/>
              </w:rPr>
              <w:t xml:space="preserve"> para pruebas. </w:t>
            </w:r>
          </w:p>
        </w:tc>
      </w:tr>
      <w:tr w:rsidR="007A425E" w:rsidRPr="007A425E" w14:paraId="5D16A354"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367F39E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40</w:t>
            </w:r>
          </w:p>
        </w:tc>
        <w:tc>
          <w:tcPr>
            <w:tcW w:w="2996" w:type="dxa"/>
            <w:tcBorders>
              <w:top w:val="nil"/>
              <w:left w:val="nil"/>
              <w:bottom w:val="single" w:sz="8" w:space="0" w:color="auto"/>
              <w:right w:val="single" w:sz="8" w:space="0" w:color="auto"/>
            </w:tcBorders>
            <w:vAlign w:val="center"/>
            <w:hideMark/>
          </w:tcPr>
          <w:p w14:paraId="49DC375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2044E7B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BPMS – Continuidad de Flujos</w:t>
            </w:r>
          </w:p>
        </w:tc>
        <w:tc>
          <w:tcPr>
            <w:tcW w:w="5613" w:type="dxa"/>
            <w:tcBorders>
              <w:top w:val="nil"/>
              <w:left w:val="nil"/>
              <w:bottom w:val="single" w:sz="8" w:space="0" w:color="auto"/>
              <w:right w:val="single" w:sz="8" w:space="0" w:color="auto"/>
            </w:tcBorders>
            <w:vAlign w:val="center"/>
            <w:hideMark/>
          </w:tcPr>
          <w:p w14:paraId="0E79434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BPMS deberá garantizar persistencia de estado resistente a fallos de cada instancia de proceso, permitiendo reanudación automática ante caídas del servidor sin pérdida de datos. </w:t>
            </w:r>
          </w:p>
        </w:tc>
      </w:tr>
      <w:tr w:rsidR="007A425E" w:rsidRPr="007A425E" w14:paraId="60E9CE8B"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4884B19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41</w:t>
            </w:r>
          </w:p>
        </w:tc>
        <w:tc>
          <w:tcPr>
            <w:tcW w:w="2996" w:type="dxa"/>
            <w:tcBorders>
              <w:top w:val="nil"/>
              <w:left w:val="nil"/>
              <w:bottom w:val="single" w:sz="8" w:space="0" w:color="auto"/>
              <w:right w:val="single" w:sz="8" w:space="0" w:color="auto"/>
            </w:tcBorders>
            <w:vAlign w:val="center"/>
            <w:hideMark/>
          </w:tcPr>
          <w:p w14:paraId="259EEE0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5D1DCD5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Cuadro de mandos</w:t>
            </w:r>
          </w:p>
        </w:tc>
        <w:tc>
          <w:tcPr>
            <w:tcW w:w="5613" w:type="dxa"/>
            <w:tcBorders>
              <w:top w:val="nil"/>
              <w:left w:val="nil"/>
              <w:bottom w:val="single" w:sz="8" w:space="0" w:color="auto"/>
              <w:right w:val="single" w:sz="8" w:space="0" w:color="auto"/>
            </w:tcBorders>
            <w:vAlign w:val="center"/>
            <w:hideMark/>
          </w:tcPr>
          <w:p w14:paraId="5B5B842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cuadros de mando técnicos y funcionales, con indicadores de rendimiento, almacenamiento y procesamiento.</w:t>
            </w:r>
          </w:p>
        </w:tc>
      </w:tr>
      <w:tr w:rsidR="007A425E" w:rsidRPr="007A425E" w14:paraId="030B813F"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04A5867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42</w:t>
            </w:r>
          </w:p>
        </w:tc>
        <w:tc>
          <w:tcPr>
            <w:tcW w:w="2996" w:type="dxa"/>
            <w:tcBorders>
              <w:top w:val="nil"/>
              <w:left w:val="nil"/>
              <w:bottom w:val="single" w:sz="8" w:space="0" w:color="auto"/>
              <w:right w:val="single" w:sz="8" w:space="0" w:color="auto"/>
            </w:tcBorders>
            <w:vAlign w:val="center"/>
            <w:hideMark/>
          </w:tcPr>
          <w:p w14:paraId="5D23254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285A875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Estabilidad</w:t>
            </w:r>
          </w:p>
        </w:tc>
        <w:tc>
          <w:tcPr>
            <w:tcW w:w="5613" w:type="dxa"/>
            <w:tcBorders>
              <w:top w:val="nil"/>
              <w:left w:val="nil"/>
              <w:bottom w:val="single" w:sz="8" w:space="0" w:color="auto"/>
              <w:right w:val="single" w:sz="8" w:space="0" w:color="auto"/>
            </w:tcBorders>
            <w:vAlign w:val="center"/>
            <w:hideMark/>
          </w:tcPr>
          <w:p w14:paraId="3406C6F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operará sin fallos críticos, los incidentes deberán resolverse conforme los descrito en la sección 8.3 Mantenimiento Correctivo. El sistema no deberá presentar degradaciones superiores al 20% aún bajo carga alta.</w:t>
            </w:r>
          </w:p>
        </w:tc>
      </w:tr>
      <w:tr w:rsidR="007A425E" w:rsidRPr="007A425E" w14:paraId="7A305C8F"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6B69F20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43</w:t>
            </w:r>
          </w:p>
        </w:tc>
        <w:tc>
          <w:tcPr>
            <w:tcW w:w="2996" w:type="dxa"/>
            <w:tcBorders>
              <w:top w:val="nil"/>
              <w:left w:val="nil"/>
              <w:bottom w:val="single" w:sz="8" w:space="0" w:color="auto"/>
              <w:right w:val="single" w:sz="8" w:space="0" w:color="auto"/>
            </w:tcBorders>
            <w:vAlign w:val="center"/>
            <w:hideMark/>
          </w:tcPr>
          <w:p w14:paraId="5A75D8F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7611934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Gestión de almacenamiento</w:t>
            </w:r>
          </w:p>
        </w:tc>
        <w:tc>
          <w:tcPr>
            <w:tcW w:w="5613" w:type="dxa"/>
            <w:tcBorders>
              <w:top w:val="nil"/>
              <w:left w:val="nil"/>
              <w:bottom w:val="single" w:sz="8" w:space="0" w:color="auto"/>
              <w:right w:val="single" w:sz="8" w:space="0" w:color="auto"/>
            </w:tcBorders>
            <w:vAlign w:val="center"/>
            <w:hideMark/>
          </w:tcPr>
          <w:p w14:paraId="1B4D292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gestionar grandes volúmenes de datos (documentos, logs), optimizando políticas de retención y eliminación segura conforme lineamientos institucionales</w:t>
            </w:r>
          </w:p>
        </w:tc>
      </w:tr>
      <w:tr w:rsidR="007A425E" w:rsidRPr="007A425E" w14:paraId="3F9DFF3D"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2C5BDE4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44</w:t>
            </w:r>
          </w:p>
        </w:tc>
        <w:tc>
          <w:tcPr>
            <w:tcW w:w="2996" w:type="dxa"/>
            <w:tcBorders>
              <w:top w:val="nil"/>
              <w:left w:val="nil"/>
              <w:bottom w:val="single" w:sz="8" w:space="0" w:color="auto"/>
              <w:right w:val="single" w:sz="8" w:space="0" w:color="auto"/>
            </w:tcBorders>
            <w:vAlign w:val="center"/>
            <w:hideMark/>
          </w:tcPr>
          <w:p w14:paraId="5B6AF4E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3141203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Idioma de soporte</w:t>
            </w:r>
          </w:p>
        </w:tc>
        <w:tc>
          <w:tcPr>
            <w:tcW w:w="5613" w:type="dxa"/>
            <w:tcBorders>
              <w:top w:val="nil"/>
              <w:left w:val="nil"/>
              <w:bottom w:val="single" w:sz="8" w:space="0" w:color="auto"/>
              <w:right w:val="single" w:sz="8" w:space="0" w:color="auto"/>
            </w:tcBorders>
            <w:vAlign w:val="center"/>
            <w:hideMark/>
          </w:tcPr>
          <w:p w14:paraId="2A7E054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contar con soporte completo en idioma español, tanto en </w:t>
            </w:r>
            <w:proofErr w:type="gramStart"/>
            <w:r w:rsidRPr="007A425E">
              <w:rPr>
                <w:rFonts w:ascii="Calibri" w:eastAsia="Times New Roman" w:hAnsi="Calibri" w:cs="Calibri"/>
                <w:color w:val="000000"/>
                <w:sz w:val="20"/>
                <w:szCs w:val="20"/>
                <w:lang w:eastAsia="es-EC"/>
              </w:rPr>
              <w:t>tickets</w:t>
            </w:r>
            <w:proofErr w:type="gramEnd"/>
            <w:r w:rsidRPr="007A425E">
              <w:rPr>
                <w:rFonts w:ascii="Calibri" w:eastAsia="Times New Roman" w:hAnsi="Calibri" w:cs="Calibri"/>
                <w:color w:val="000000"/>
                <w:sz w:val="20"/>
                <w:szCs w:val="20"/>
                <w:lang w:eastAsia="es-EC"/>
              </w:rPr>
              <w:t xml:space="preserve"> y notificaciones como en soporte telefónico o remoto.</w:t>
            </w:r>
          </w:p>
        </w:tc>
      </w:tr>
      <w:tr w:rsidR="007A425E" w:rsidRPr="007A425E" w14:paraId="715EBB76"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2B559DB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45</w:t>
            </w:r>
          </w:p>
        </w:tc>
        <w:tc>
          <w:tcPr>
            <w:tcW w:w="2996" w:type="dxa"/>
            <w:tcBorders>
              <w:top w:val="nil"/>
              <w:left w:val="nil"/>
              <w:bottom w:val="single" w:sz="8" w:space="0" w:color="auto"/>
              <w:right w:val="single" w:sz="8" w:space="0" w:color="auto"/>
            </w:tcBorders>
            <w:vAlign w:val="center"/>
            <w:hideMark/>
          </w:tcPr>
          <w:p w14:paraId="0E8FD45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3ED2C2A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Pruebas conjuntas</w:t>
            </w:r>
          </w:p>
        </w:tc>
        <w:tc>
          <w:tcPr>
            <w:tcW w:w="5613" w:type="dxa"/>
            <w:tcBorders>
              <w:top w:val="nil"/>
              <w:left w:val="nil"/>
              <w:bottom w:val="single" w:sz="8" w:space="0" w:color="auto"/>
              <w:right w:val="single" w:sz="8" w:space="0" w:color="auto"/>
            </w:tcBorders>
            <w:vAlign w:val="center"/>
            <w:hideMark/>
          </w:tcPr>
          <w:p w14:paraId="368397A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configuraciones, instalaciones y pruebas conjuntas con personal técnico del SRI, asegurando conformidad operativa antes de la puesta en producción.</w:t>
            </w:r>
          </w:p>
        </w:tc>
      </w:tr>
      <w:tr w:rsidR="007A425E" w:rsidRPr="007A425E" w14:paraId="365D2CFB"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5A4A821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46</w:t>
            </w:r>
          </w:p>
        </w:tc>
        <w:tc>
          <w:tcPr>
            <w:tcW w:w="2996" w:type="dxa"/>
            <w:tcBorders>
              <w:top w:val="nil"/>
              <w:left w:val="nil"/>
              <w:bottom w:val="single" w:sz="8" w:space="0" w:color="auto"/>
              <w:right w:val="single" w:sz="8" w:space="0" w:color="auto"/>
            </w:tcBorders>
            <w:vAlign w:val="center"/>
            <w:hideMark/>
          </w:tcPr>
          <w:p w14:paraId="776EBA9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6DF9698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roofErr w:type="spellStart"/>
            <w:r w:rsidRPr="007A425E">
              <w:rPr>
                <w:rFonts w:ascii="Calibri" w:eastAsia="Times New Roman" w:hAnsi="Calibri" w:cs="Calibri"/>
                <w:color w:val="000000"/>
                <w:sz w:val="20"/>
                <w:szCs w:val="20"/>
                <w:lang w:eastAsia="es-EC"/>
              </w:rPr>
              <w:t>SLAs</w:t>
            </w:r>
            <w:proofErr w:type="spellEnd"/>
            <w:r w:rsidRPr="007A425E">
              <w:rPr>
                <w:rFonts w:ascii="Calibri" w:eastAsia="Times New Roman" w:hAnsi="Calibri" w:cs="Calibri"/>
                <w:color w:val="000000"/>
                <w:sz w:val="20"/>
                <w:szCs w:val="20"/>
                <w:lang w:eastAsia="es-EC"/>
              </w:rPr>
              <w:t xml:space="preserve"> internos</w:t>
            </w:r>
          </w:p>
        </w:tc>
        <w:tc>
          <w:tcPr>
            <w:tcW w:w="5613" w:type="dxa"/>
            <w:tcBorders>
              <w:top w:val="nil"/>
              <w:left w:val="nil"/>
              <w:bottom w:val="single" w:sz="8" w:space="0" w:color="auto"/>
              <w:right w:val="single" w:sz="8" w:space="0" w:color="auto"/>
            </w:tcBorders>
            <w:vAlign w:val="center"/>
            <w:hideMark/>
          </w:tcPr>
          <w:p w14:paraId="14525A4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cumplir los </w:t>
            </w:r>
            <w:proofErr w:type="spellStart"/>
            <w:r w:rsidRPr="007A425E">
              <w:rPr>
                <w:rFonts w:ascii="Calibri" w:eastAsia="Times New Roman" w:hAnsi="Calibri" w:cs="Calibri"/>
                <w:color w:val="000000"/>
                <w:sz w:val="20"/>
                <w:szCs w:val="20"/>
                <w:lang w:eastAsia="es-EC"/>
              </w:rPr>
              <w:t>SLAs</w:t>
            </w:r>
            <w:proofErr w:type="spellEnd"/>
            <w:r w:rsidRPr="007A425E">
              <w:rPr>
                <w:rFonts w:ascii="Calibri" w:eastAsia="Times New Roman" w:hAnsi="Calibri" w:cs="Calibri"/>
                <w:color w:val="000000"/>
                <w:sz w:val="20"/>
                <w:szCs w:val="20"/>
                <w:lang w:eastAsia="es-EC"/>
              </w:rPr>
              <w:t xml:space="preserve"> internos definidos por el SRI, con evidencia de métricas y reportes propios de la herramienta.</w:t>
            </w:r>
          </w:p>
        </w:tc>
      </w:tr>
      <w:tr w:rsidR="007A425E" w:rsidRPr="007A425E" w14:paraId="1CB6D4F3"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2F9369F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47</w:t>
            </w:r>
          </w:p>
        </w:tc>
        <w:tc>
          <w:tcPr>
            <w:tcW w:w="2996" w:type="dxa"/>
            <w:tcBorders>
              <w:top w:val="nil"/>
              <w:left w:val="nil"/>
              <w:bottom w:val="single" w:sz="8" w:space="0" w:color="auto"/>
              <w:right w:val="single" w:sz="8" w:space="0" w:color="auto"/>
            </w:tcBorders>
            <w:vAlign w:val="center"/>
            <w:hideMark/>
          </w:tcPr>
          <w:p w14:paraId="4554AE8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w:t>
            </w:r>
          </w:p>
        </w:tc>
        <w:tc>
          <w:tcPr>
            <w:tcW w:w="1780" w:type="dxa"/>
            <w:tcBorders>
              <w:top w:val="nil"/>
              <w:left w:val="nil"/>
              <w:bottom w:val="single" w:sz="8" w:space="0" w:color="auto"/>
              <w:right w:val="single" w:sz="8" w:space="0" w:color="auto"/>
            </w:tcBorders>
            <w:vAlign w:val="center"/>
            <w:hideMark/>
          </w:tcPr>
          <w:p w14:paraId="5CB73DD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Tipo de soporte</w:t>
            </w:r>
          </w:p>
        </w:tc>
        <w:tc>
          <w:tcPr>
            <w:tcW w:w="5613" w:type="dxa"/>
            <w:tcBorders>
              <w:top w:val="nil"/>
              <w:left w:val="nil"/>
              <w:bottom w:val="single" w:sz="8" w:space="0" w:color="auto"/>
              <w:right w:val="single" w:sz="8" w:space="0" w:color="auto"/>
            </w:tcBorders>
            <w:vAlign w:val="center"/>
            <w:hideMark/>
          </w:tcPr>
          <w:p w14:paraId="7CCB422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soporte técnico de primer y segundo nivel, con transición a soporte institucional en primer nivel posterior a la estabilización.</w:t>
            </w:r>
          </w:p>
        </w:tc>
      </w:tr>
      <w:tr w:rsidR="007A425E" w:rsidRPr="007A425E" w14:paraId="1B8BF7B1" w14:textId="77777777" w:rsidTr="007A425E">
        <w:trPr>
          <w:trHeight w:val="2496"/>
          <w:jc w:val="center"/>
        </w:trPr>
        <w:tc>
          <w:tcPr>
            <w:tcW w:w="800" w:type="dxa"/>
            <w:tcBorders>
              <w:top w:val="nil"/>
              <w:left w:val="single" w:sz="8" w:space="0" w:color="auto"/>
              <w:bottom w:val="single" w:sz="8" w:space="0" w:color="auto"/>
              <w:right w:val="single" w:sz="8" w:space="0" w:color="auto"/>
            </w:tcBorders>
            <w:vAlign w:val="center"/>
            <w:hideMark/>
          </w:tcPr>
          <w:p w14:paraId="2D143A0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48</w:t>
            </w:r>
          </w:p>
        </w:tc>
        <w:tc>
          <w:tcPr>
            <w:tcW w:w="2996" w:type="dxa"/>
            <w:tcBorders>
              <w:top w:val="nil"/>
              <w:left w:val="nil"/>
              <w:bottom w:val="single" w:sz="8" w:space="0" w:color="auto"/>
              <w:right w:val="single" w:sz="8" w:space="0" w:color="auto"/>
            </w:tcBorders>
            <w:vAlign w:val="center"/>
            <w:hideMark/>
          </w:tcPr>
          <w:p w14:paraId="7C0310E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 / Arquitectura</w:t>
            </w:r>
          </w:p>
        </w:tc>
        <w:tc>
          <w:tcPr>
            <w:tcW w:w="1780" w:type="dxa"/>
            <w:tcBorders>
              <w:top w:val="nil"/>
              <w:left w:val="nil"/>
              <w:bottom w:val="single" w:sz="8" w:space="0" w:color="auto"/>
              <w:right w:val="single" w:sz="8" w:space="0" w:color="auto"/>
            </w:tcBorders>
            <w:vAlign w:val="center"/>
            <w:hideMark/>
          </w:tcPr>
          <w:p w14:paraId="1CAB8EF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Disponibilidad</w:t>
            </w:r>
          </w:p>
        </w:tc>
        <w:tc>
          <w:tcPr>
            <w:tcW w:w="5613" w:type="dxa"/>
            <w:tcBorders>
              <w:top w:val="nil"/>
              <w:left w:val="nil"/>
              <w:bottom w:val="single" w:sz="8" w:space="0" w:color="auto"/>
              <w:right w:val="single" w:sz="8" w:space="0" w:color="auto"/>
            </w:tcBorders>
            <w:vAlign w:val="center"/>
            <w:hideMark/>
          </w:tcPr>
          <w:p w14:paraId="7C992E23"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suite deberá garantizar disponibilidad mínima mensual del 99,5%, con balanceo de carga, redundancia activa y tolerancia a fallos. Las interrupciones no planificadas no podrán exceder 15 minutos mensuales y las ventanas de mantenimiento deberán limitarse menor a 2 horas, notificadas con 72 horas de anticipación. Todo esto durante la vigencia del contrato y de los servicios prestados.  En caso de que existan factores externos atribuibles a la infraestructura institucional que afecten el cumplimiento, dichos aspectos deberán ser documentados y gestionados en coordinación con el SRI.</w:t>
            </w:r>
          </w:p>
        </w:tc>
      </w:tr>
      <w:tr w:rsidR="007A425E" w:rsidRPr="007A425E" w14:paraId="3F4BF21A"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63AA084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49</w:t>
            </w:r>
          </w:p>
        </w:tc>
        <w:tc>
          <w:tcPr>
            <w:tcW w:w="2996" w:type="dxa"/>
            <w:tcBorders>
              <w:top w:val="nil"/>
              <w:left w:val="nil"/>
              <w:bottom w:val="single" w:sz="8" w:space="0" w:color="auto"/>
              <w:right w:val="single" w:sz="8" w:space="0" w:color="auto"/>
            </w:tcBorders>
            <w:vAlign w:val="center"/>
            <w:hideMark/>
          </w:tcPr>
          <w:p w14:paraId="0D0BA65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 / Arquitectura</w:t>
            </w:r>
          </w:p>
        </w:tc>
        <w:tc>
          <w:tcPr>
            <w:tcW w:w="1780" w:type="dxa"/>
            <w:tcBorders>
              <w:top w:val="nil"/>
              <w:left w:val="nil"/>
              <w:bottom w:val="single" w:sz="8" w:space="0" w:color="auto"/>
              <w:right w:val="single" w:sz="8" w:space="0" w:color="auto"/>
            </w:tcBorders>
            <w:vAlign w:val="center"/>
            <w:hideMark/>
          </w:tcPr>
          <w:p w14:paraId="12F933B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roofErr w:type="spellStart"/>
            <w:r w:rsidRPr="007A425E">
              <w:rPr>
                <w:rFonts w:ascii="Calibri" w:eastAsia="Times New Roman" w:hAnsi="Calibri" w:cs="Calibri"/>
                <w:color w:val="000000"/>
                <w:sz w:val="20"/>
                <w:szCs w:val="20"/>
                <w:lang w:eastAsia="es-EC"/>
              </w:rPr>
              <w:t>On</w:t>
            </w:r>
            <w:proofErr w:type="spellEnd"/>
            <w:r w:rsidRPr="007A425E">
              <w:rPr>
                <w:rFonts w:ascii="Calibri" w:eastAsia="Times New Roman" w:hAnsi="Calibri" w:cs="Calibri"/>
                <w:color w:val="000000"/>
                <w:sz w:val="20"/>
                <w:szCs w:val="20"/>
                <w:lang w:eastAsia="es-EC"/>
              </w:rPr>
              <w:t>-premise</w:t>
            </w:r>
          </w:p>
        </w:tc>
        <w:tc>
          <w:tcPr>
            <w:tcW w:w="5613" w:type="dxa"/>
            <w:tcBorders>
              <w:top w:val="nil"/>
              <w:left w:val="nil"/>
              <w:bottom w:val="single" w:sz="8" w:space="0" w:color="auto"/>
              <w:right w:val="single" w:sz="8" w:space="0" w:color="auto"/>
            </w:tcBorders>
            <w:vAlign w:val="center"/>
            <w:hideMark/>
          </w:tcPr>
          <w:p w14:paraId="7D40F03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guías, scripts y procedimientos de instalación para ambientes productivos, contingencia y no productivos garantizando compatibilidad con la infraestructura actual del SRI.</w:t>
            </w:r>
          </w:p>
        </w:tc>
      </w:tr>
      <w:tr w:rsidR="007A425E" w:rsidRPr="007A425E" w14:paraId="1C1A84D2" w14:textId="77777777" w:rsidTr="007A425E">
        <w:trPr>
          <w:trHeight w:val="1116"/>
          <w:jc w:val="center"/>
        </w:trPr>
        <w:tc>
          <w:tcPr>
            <w:tcW w:w="800" w:type="dxa"/>
            <w:tcBorders>
              <w:top w:val="nil"/>
              <w:left w:val="single" w:sz="8" w:space="0" w:color="auto"/>
              <w:bottom w:val="single" w:sz="8" w:space="0" w:color="auto"/>
              <w:right w:val="single" w:sz="8" w:space="0" w:color="auto"/>
            </w:tcBorders>
            <w:vAlign w:val="center"/>
            <w:hideMark/>
          </w:tcPr>
          <w:p w14:paraId="5F93A8F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50</w:t>
            </w:r>
          </w:p>
        </w:tc>
        <w:tc>
          <w:tcPr>
            <w:tcW w:w="2996" w:type="dxa"/>
            <w:tcBorders>
              <w:top w:val="nil"/>
              <w:left w:val="nil"/>
              <w:bottom w:val="single" w:sz="8" w:space="0" w:color="auto"/>
              <w:right w:val="single" w:sz="8" w:space="0" w:color="auto"/>
            </w:tcBorders>
            <w:vAlign w:val="center"/>
            <w:hideMark/>
          </w:tcPr>
          <w:p w14:paraId="3EC6A7B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 / Seguridad</w:t>
            </w:r>
          </w:p>
        </w:tc>
        <w:tc>
          <w:tcPr>
            <w:tcW w:w="1780" w:type="dxa"/>
            <w:tcBorders>
              <w:top w:val="nil"/>
              <w:left w:val="nil"/>
              <w:bottom w:val="single" w:sz="8" w:space="0" w:color="auto"/>
              <w:right w:val="single" w:sz="8" w:space="0" w:color="auto"/>
            </w:tcBorders>
            <w:vAlign w:val="center"/>
            <w:hideMark/>
          </w:tcPr>
          <w:p w14:paraId="661CB4A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Integridad</w:t>
            </w:r>
          </w:p>
        </w:tc>
        <w:tc>
          <w:tcPr>
            <w:tcW w:w="5613" w:type="dxa"/>
            <w:tcBorders>
              <w:top w:val="nil"/>
              <w:left w:val="nil"/>
              <w:bottom w:val="single" w:sz="8" w:space="0" w:color="auto"/>
              <w:right w:val="single" w:sz="8" w:space="0" w:color="auto"/>
            </w:tcBorders>
            <w:vAlign w:val="center"/>
            <w:hideMark/>
          </w:tcPr>
          <w:p w14:paraId="764A513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proveer monitoreo automatizado de estado, rendimiento y salud, con trazabilidad de eventos y alertas ante anomalías, de acuerdo con las características incluidas en la metodología de trabajo.</w:t>
            </w:r>
          </w:p>
        </w:tc>
      </w:tr>
      <w:tr w:rsidR="007A425E" w:rsidRPr="007A425E" w14:paraId="7ACFFAC9" w14:textId="77777777" w:rsidTr="007A425E">
        <w:trPr>
          <w:trHeight w:val="3324"/>
          <w:jc w:val="center"/>
        </w:trPr>
        <w:tc>
          <w:tcPr>
            <w:tcW w:w="800" w:type="dxa"/>
            <w:tcBorders>
              <w:top w:val="nil"/>
              <w:left w:val="single" w:sz="8" w:space="0" w:color="auto"/>
              <w:bottom w:val="single" w:sz="8" w:space="0" w:color="auto"/>
              <w:right w:val="single" w:sz="8" w:space="0" w:color="auto"/>
            </w:tcBorders>
            <w:vAlign w:val="center"/>
            <w:hideMark/>
          </w:tcPr>
          <w:p w14:paraId="40663E0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51</w:t>
            </w:r>
          </w:p>
        </w:tc>
        <w:tc>
          <w:tcPr>
            <w:tcW w:w="2996" w:type="dxa"/>
            <w:tcBorders>
              <w:top w:val="nil"/>
              <w:left w:val="nil"/>
              <w:bottom w:val="single" w:sz="8" w:space="0" w:color="auto"/>
              <w:right w:val="single" w:sz="8" w:space="0" w:color="auto"/>
            </w:tcBorders>
            <w:vAlign w:val="center"/>
            <w:hideMark/>
          </w:tcPr>
          <w:p w14:paraId="2D66BFA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QA</w:t>
            </w:r>
          </w:p>
        </w:tc>
        <w:tc>
          <w:tcPr>
            <w:tcW w:w="1780" w:type="dxa"/>
            <w:tcBorders>
              <w:top w:val="nil"/>
              <w:left w:val="nil"/>
              <w:bottom w:val="single" w:sz="8" w:space="0" w:color="auto"/>
              <w:right w:val="single" w:sz="8" w:space="0" w:color="auto"/>
            </w:tcBorders>
            <w:vAlign w:val="center"/>
            <w:hideMark/>
          </w:tcPr>
          <w:p w14:paraId="59D24D9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Acceso a datos en ambientes no productivos</w:t>
            </w:r>
          </w:p>
        </w:tc>
        <w:tc>
          <w:tcPr>
            <w:tcW w:w="5613" w:type="dxa"/>
            <w:tcBorders>
              <w:top w:val="nil"/>
              <w:left w:val="nil"/>
              <w:bottom w:val="single" w:sz="8" w:space="0" w:color="auto"/>
              <w:right w:val="single" w:sz="8" w:space="0" w:color="auto"/>
            </w:tcBorders>
            <w:vAlign w:val="center"/>
            <w:hideMark/>
          </w:tcPr>
          <w:p w14:paraId="73F78C5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garantizar que en ambientes no productivos la información esté anonimizada, ofuscada y protegida, evitando exposición de datos sensibles. Durante el proyecto se establecerán, en coordinación con la institución, los datos sensibles que deberán ser objeto de </w:t>
            </w:r>
            <w:proofErr w:type="spellStart"/>
            <w:r w:rsidRPr="007A425E">
              <w:rPr>
                <w:rFonts w:ascii="Calibri" w:eastAsia="Times New Roman" w:hAnsi="Calibri" w:cs="Calibri"/>
                <w:color w:val="000000"/>
                <w:sz w:val="20"/>
                <w:szCs w:val="20"/>
                <w:lang w:eastAsia="es-EC"/>
              </w:rPr>
              <w:t>anonimización</w:t>
            </w:r>
            <w:proofErr w:type="spellEnd"/>
            <w:r w:rsidRPr="007A425E">
              <w:rPr>
                <w:rFonts w:ascii="Calibri" w:eastAsia="Times New Roman" w:hAnsi="Calibri" w:cs="Calibri"/>
                <w:color w:val="000000"/>
                <w:sz w:val="20"/>
                <w:szCs w:val="20"/>
                <w:lang w:eastAsia="es-EC"/>
              </w:rPr>
              <w:t xml:space="preserve"> u ofuscación. El proveedor será responsable de proveer o implementar los mecanismos técnicos necesarios (scripts, herramientas o funcionalidades de la suite) para cumplir este requerimiento, independientemente de que la institución disponga o no de herramientas previas. En ambientes productivos, la carga de datos será responsabilidad del personal institucional, sin que la solución requiera manejar información productiva sin anonimizar en entornos no productivos.</w:t>
            </w:r>
          </w:p>
        </w:tc>
      </w:tr>
      <w:tr w:rsidR="007A425E" w:rsidRPr="007A425E" w14:paraId="38100F04"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17D4E3B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52</w:t>
            </w:r>
          </w:p>
        </w:tc>
        <w:tc>
          <w:tcPr>
            <w:tcW w:w="2996" w:type="dxa"/>
            <w:tcBorders>
              <w:top w:val="nil"/>
              <w:left w:val="nil"/>
              <w:bottom w:val="single" w:sz="8" w:space="0" w:color="auto"/>
              <w:right w:val="single" w:sz="8" w:space="0" w:color="auto"/>
            </w:tcBorders>
            <w:vAlign w:val="center"/>
            <w:hideMark/>
          </w:tcPr>
          <w:p w14:paraId="5D3180B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QA</w:t>
            </w:r>
          </w:p>
        </w:tc>
        <w:tc>
          <w:tcPr>
            <w:tcW w:w="1780" w:type="dxa"/>
            <w:tcBorders>
              <w:top w:val="nil"/>
              <w:left w:val="nil"/>
              <w:bottom w:val="single" w:sz="8" w:space="0" w:color="auto"/>
              <w:right w:val="single" w:sz="8" w:space="0" w:color="auto"/>
            </w:tcBorders>
            <w:vAlign w:val="center"/>
            <w:hideMark/>
          </w:tcPr>
          <w:p w14:paraId="4F24732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Pruebas de carga y estrés</w:t>
            </w:r>
          </w:p>
        </w:tc>
        <w:tc>
          <w:tcPr>
            <w:tcW w:w="5613" w:type="dxa"/>
            <w:tcBorders>
              <w:top w:val="nil"/>
              <w:left w:val="nil"/>
              <w:bottom w:val="single" w:sz="8" w:space="0" w:color="auto"/>
              <w:right w:val="single" w:sz="8" w:space="0" w:color="auto"/>
            </w:tcBorders>
            <w:vAlign w:val="center"/>
            <w:hideMark/>
          </w:tcPr>
          <w:p w14:paraId="44637F1B"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pruebas de carga y estrés en momentos críticos para validar su robustez y estabilidad.</w:t>
            </w:r>
          </w:p>
        </w:tc>
      </w:tr>
      <w:tr w:rsidR="007A425E" w:rsidRPr="007A425E" w14:paraId="1B562385" w14:textId="77777777" w:rsidTr="007A425E">
        <w:trPr>
          <w:trHeight w:val="2220"/>
          <w:jc w:val="center"/>
        </w:trPr>
        <w:tc>
          <w:tcPr>
            <w:tcW w:w="800" w:type="dxa"/>
            <w:tcBorders>
              <w:top w:val="nil"/>
              <w:left w:val="single" w:sz="8" w:space="0" w:color="auto"/>
              <w:bottom w:val="single" w:sz="8" w:space="0" w:color="auto"/>
              <w:right w:val="single" w:sz="8" w:space="0" w:color="auto"/>
            </w:tcBorders>
            <w:vAlign w:val="center"/>
            <w:hideMark/>
          </w:tcPr>
          <w:p w14:paraId="5B1CEEF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53</w:t>
            </w:r>
          </w:p>
        </w:tc>
        <w:tc>
          <w:tcPr>
            <w:tcW w:w="2996" w:type="dxa"/>
            <w:tcBorders>
              <w:top w:val="nil"/>
              <w:left w:val="nil"/>
              <w:bottom w:val="single" w:sz="8" w:space="0" w:color="auto"/>
              <w:right w:val="single" w:sz="8" w:space="0" w:color="auto"/>
            </w:tcBorders>
            <w:vAlign w:val="center"/>
            <w:hideMark/>
          </w:tcPr>
          <w:p w14:paraId="00090DE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QA / Arquitectura</w:t>
            </w:r>
          </w:p>
        </w:tc>
        <w:tc>
          <w:tcPr>
            <w:tcW w:w="1780" w:type="dxa"/>
            <w:tcBorders>
              <w:top w:val="nil"/>
              <w:left w:val="nil"/>
              <w:bottom w:val="single" w:sz="8" w:space="0" w:color="auto"/>
              <w:right w:val="single" w:sz="8" w:space="0" w:color="auto"/>
            </w:tcBorders>
            <w:vAlign w:val="center"/>
            <w:hideMark/>
          </w:tcPr>
          <w:p w14:paraId="7667B81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Gobernanza – Artefactos</w:t>
            </w:r>
          </w:p>
        </w:tc>
        <w:tc>
          <w:tcPr>
            <w:tcW w:w="5613" w:type="dxa"/>
            <w:tcBorders>
              <w:top w:val="nil"/>
              <w:left w:val="nil"/>
              <w:bottom w:val="single" w:sz="8" w:space="0" w:color="auto"/>
              <w:right w:val="single" w:sz="8" w:space="0" w:color="auto"/>
            </w:tcBorders>
            <w:vAlign w:val="center"/>
            <w:hideMark/>
          </w:tcPr>
          <w:p w14:paraId="040DAA9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Los tres componentes de la solución (BPMN, BRMS y ECM) deberán contar con mecanismos de gestión de versiones para sus modelos, garantizando trazabilidad completa de cambios, compatibilidad entre entornos (desarrollo, pruebas, producción) y validación automática de integridad antes del despliegue. Estos mecanismos podrán implementarse mediante repositorios internos de la suite o funcionalidades equivalentes, siempre que aseguren historial, control de versiones y consistencia en la promoción de artefactos.</w:t>
            </w:r>
          </w:p>
        </w:tc>
      </w:tr>
      <w:tr w:rsidR="007A425E" w:rsidRPr="007A425E" w14:paraId="6D890D3A"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529D75C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54</w:t>
            </w:r>
          </w:p>
        </w:tc>
        <w:tc>
          <w:tcPr>
            <w:tcW w:w="2996" w:type="dxa"/>
            <w:tcBorders>
              <w:top w:val="nil"/>
              <w:left w:val="nil"/>
              <w:bottom w:val="single" w:sz="8" w:space="0" w:color="auto"/>
              <w:right w:val="single" w:sz="8" w:space="0" w:color="auto"/>
            </w:tcBorders>
            <w:vAlign w:val="center"/>
            <w:hideMark/>
          </w:tcPr>
          <w:p w14:paraId="7DBCA35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QA / Desarrollo</w:t>
            </w:r>
          </w:p>
        </w:tc>
        <w:tc>
          <w:tcPr>
            <w:tcW w:w="1780" w:type="dxa"/>
            <w:tcBorders>
              <w:top w:val="nil"/>
              <w:left w:val="nil"/>
              <w:bottom w:val="single" w:sz="8" w:space="0" w:color="auto"/>
              <w:right w:val="single" w:sz="8" w:space="0" w:color="auto"/>
            </w:tcBorders>
            <w:vAlign w:val="center"/>
            <w:hideMark/>
          </w:tcPr>
          <w:p w14:paraId="48D436F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Gestión de cambios</w:t>
            </w:r>
          </w:p>
        </w:tc>
        <w:tc>
          <w:tcPr>
            <w:tcW w:w="5613" w:type="dxa"/>
            <w:tcBorders>
              <w:top w:val="nil"/>
              <w:left w:val="nil"/>
              <w:bottom w:val="single" w:sz="8" w:space="0" w:color="auto"/>
              <w:right w:val="single" w:sz="8" w:space="0" w:color="auto"/>
            </w:tcBorders>
            <w:vAlign w:val="center"/>
            <w:hideMark/>
          </w:tcPr>
          <w:p w14:paraId="104CCE0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mecanismos para gestión de configuración y cambios, con flujos formales entre los diferentes ambientes productivos y no productivos.</w:t>
            </w:r>
          </w:p>
        </w:tc>
      </w:tr>
      <w:tr w:rsidR="007A425E" w:rsidRPr="007A425E" w14:paraId="4636A3FC"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3DCD61B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55</w:t>
            </w:r>
          </w:p>
        </w:tc>
        <w:tc>
          <w:tcPr>
            <w:tcW w:w="2996" w:type="dxa"/>
            <w:tcBorders>
              <w:top w:val="nil"/>
              <w:left w:val="nil"/>
              <w:bottom w:val="single" w:sz="8" w:space="0" w:color="auto"/>
              <w:right w:val="single" w:sz="8" w:space="0" w:color="auto"/>
            </w:tcBorders>
            <w:vAlign w:val="center"/>
            <w:hideMark/>
          </w:tcPr>
          <w:p w14:paraId="0B2B1FE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QA / Operaciones</w:t>
            </w:r>
          </w:p>
        </w:tc>
        <w:tc>
          <w:tcPr>
            <w:tcW w:w="1780" w:type="dxa"/>
            <w:tcBorders>
              <w:top w:val="nil"/>
              <w:left w:val="nil"/>
              <w:bottom w:val="single" w:sz="8" w:space="0" w:color="auto"/>
              <w:right w:val="single" w:sz="8" w:space="0" w:color="auto"/>
            </w:tcBorders>
            <w:vAlign w:val="center"/>
            <w:hideMark/>
          </w:tcPr>
          <w:p w14:paraId="1074642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Pruebas de aceptación</w:t>
            </w:r>
          </w:p>
        </w:tc>
        <w:tc>
          <w:tcPr>
            <w:tcW w:w="5613" w:type="dxa"/>
            <w:tcBorders>
              <w:top w:val="nil"/>
              <w:left w:val="nil"/>
              <w:bottom w:val="single" w:sz="8" w:space="0" w:color="auto"/>
              <w:right w:val="single" w:sz="8" w:space="0" w:color="auto"/>
            </w:tcBorders>
            <w:vAlign w:val="center"/>
            <w:hideMark/>
          </w:tcPr>
          <w:p w14:paraId="5C33B1B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incluir pruebas de aceptación funcional y no funcional en conjunto con el SRI, documentando criterios de éxito para cada caso de uso implementado.</w:t>
            </w:r>
          </w:p>
        </w:tc>
      </w:tr>
      <w:tr w:rsidR="007A425E" w:rsidRPr="007A425E" w14:paraId="4E82A075"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393DCBD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56</w:t>
            </w:r>
          </w:p>
        </w:tc>
        <w:tc>
          <w:tcPr>
            <w:tcW w:w="2996" w:type="dxa"/>
            <w:tcBorders>
              <w:top w:val="nil"/>
              <w:left w:val="nil"/>
              <w:bottom w:val="single" w:sz="8" w:space="0" w:color="auto"/>
              <w:right w:val="single" w:sz="8" w:space="0" w:color="auto"/>
            </w:tcBorders>
            <w:vAlign w:val="center"/>
            <w:hideMark/>
          </w:tcPr>
          <w:p w14:paraId="12C1FA6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36AF3E1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Auditoría BD</w:t>
            </w:r>
          </w:p>
        </w:tc>
        <w:tc>
          <w:tcPr>
            <w:tcW w:w="5613" w:type="dxa"/>
            <w:tcBorders>
              <w:top w:val="nil"/>
              <w:left w:val="nil"/>
              <w:bottom w:val="single" w:sz="8" w:space="0" w:color="auto"/>
              <w:right w:val="single" w:sz="8" w:space="0" w:color="auto"/>
            </w:tcBorders>
            <w:vAlign w:val="center"/>
            <w:hideMark/>
          </w:tcPr>
          <w:p w14:paraId="7BED026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habilitar monitoreo y auditoría de actividades en las bases de datos.</w:t>
            </w:r>
          </w:p>
        </w:tc>
      </w:tr>
      <w:tr w:rsidR="007A425E" w:rsidRPr="007A425E" w14:paraId="5BAD7A0F" w14:textId="77777777" w:rsidTr="007A425E">
        <w:trPr>
          <w:trHeight w:val="828"/>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04527D6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57</w:t>
            </w:r>
          </w:p>
        </w:tc>
        <w:tc>
          <w:tcPr>
            <w:tcW w:w="2996" w:type="dxa"/>
            <w:vMerge w:val="restart"/>
            <w:tcBorders>
              <w:top w:val="nil"/>
              <w:left w:val="single" w:sz="8" w:space="0" w:color="auto"/>
              <w:bottom w:val="single" w:sz="8" w:space="0" w:color="000000"/>
              <w:right w:val="single" w:sz="8" w:space="0" w:color="auto"/>
            </w:tcBorders>
            <w:vAlign w:val="center"/>
            <w:hideMark/>
          </w:tcPr>
          <w:p w14:paraId="6BA1842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vMerge w:val="restart"/>
            <w:tcBorders>
              <w:top w:val="nil"/>
              <w:left w:val="single" w:sz="8" w:space="0" w:color="auto"/>
              <w:bottom w:val="single" w:sz="8" w:space="0" w:color="000000"/>
              <w:right w:val="single" w:sz="8" w:space="0" w:color="auto"/>
            </w:tcBorders>
            <w:vAlign w:val="center"/>
            <w:hideMark/>
          </w:tcPr>
          <w:p w14:paraId="2E588F2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Auditoría de accesos</w:t>
            </w:r>
          </w:p>
        </w:tc>
        <w:tc>
          <w:tcPr>
            <w:tcW w:w="5613" w:type="dxa"/>
            <w:tcBorders>
              <w:top w:val="nil"/>
              <w:left w:val="nil"/>
              <w:bottom w:val="nil"/>
              <w:right w:val="single" w:sz="8" w:space="0" w:color="auto"/>
            </w:tcBorders>
            <w:vAlign w:val="center"/>
            <w:hideMark/>
          </w:tcPr>
          <w:p w14:paraId="1679DA0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tecnológica debe registrar pistas de auditoría y el registro de actividades del usuario (final, administradores y contratista) incluyendo, pero no limitado a:</w:t>
            </w:r>
          </w:p>
        </w:tc>
      </w:tr>
      <w:tr w:rsidR="007A425E" w:rsidRPr="007A425E" w14:paraId="77FE426B"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29306A8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17408D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B84491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CF4020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Accesos exitosos y fallidos.</w:t>
            </w:r>
          </w:p>
        </w:tc>
      </w:tr>
      <w:tr w:rsidR="007A425E" w:rsidRPr="007A425E" w14:paraId="1FD7F4D1"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7047037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6F5C20E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C680F52"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7F2093E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Cuentas bloqueadas.</w:t>
            </w:r>
          </w:p>
        </w:tc>
      </w:tr>
      <w:tr w:rsidR="007A425E" w:rsidRPr="007A425E" w14:paraId="5C603725"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3AD7CA5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37B6D3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11899A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17CADBD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Máximo número de intentos de acceso superados.</w:t>
            </w:r>
          </w:p>
        </w:tc>
      </w:tr>
      <w:tr w:rsidR="007A425E" w:rsidRPr="007A425E" w14:paraId="49BC0F0A"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72306C3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6B3874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7059121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24180D1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Fecha y hora de los registros.</w:t>
            </w:r>
          </w:p>
        </w:tc>
      </w:tr>
      <w:tr w:rsidR="007A425E" w:rsidRPr="007A425E" w14:paraId="1A93C459"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4E99D5F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7EB31F3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8C0F4F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5D838BB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Cambios de configuración del sistema</w:t>
            </w:r>
          </w:p>
        </w:tc>
      </w:tr>
      <w:tr w:rsidR="007A425E" w:rsidRPr="007A425E" w14:paraId="3F9C7423" w14:textId="77777777" w:rsidTr="007A425E">
        <w:trPr>
          <w:trHeight w:val="300"/>
          <w:jc w:val="center"/>
        </w:trPr>
        <w:tc>
          <w:tcPr>
            <w:tcW w:w="800" w:type="dxa"/>
            <w:vMerge/>
            <w:tcBorders>
              <w:top w:val="nil"/>
              <w:left w:val="single" w:sz="8" w:space="0" w:color="auto"/>
              <w:bottom w:val="single" w:sz="8" w:space="0" w:color="000000"/>
              <w:right w:val="single" w:sz="8" w:space="0" w:color="auto"/>
            </w:tcBorders>
            <w:vAlign w:val="center"/>
            <w:hideMark/>
          </w:tcPr>
          <w:p w14:paraId="31E04E2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522A3A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CEE139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747174D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Cambio de contraseñas</w:t>
            </w:r>
          </w:p>
        </w:tc>
      </w:tr>
      <w:tr w:rsidR="007A425E" w:rsidRPr="007A425E" w14:paraId="574161C2"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70202B5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58</w:t>
            </w:r>
          </w:p>
        </w:tc>
        <w:tc>
          <w:tcPr>
            <w:tcW w:w="2996" w:type="dxa"/>
            <w:tcBorders>
              <w:top w:val="nil"/>
              <w:left w:val="nil"/>
              <w:bottom w:val="single" w:sz="8" w:space="0" w:color="auto"/>
              <w:right w:val="single" w:sz="8" w:space="0" w:color="auto"/>
            </w:tcBorders>
            <w:vAlign w:val="center"/>
            <w:hideMark/>
          </w:tcPr>
          <w:p w14:paraId="1D2AC30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0C87CB8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Auditoría de usuarios</w:t>
            </w:r>
          </w:p>
        </w:tc>
        <w:tc>
          <w:tcPr>
            <w:tcW w:w="5613" w:type="dxa"/>
            <w:tcBorders>
              <w:top w:val="nil"/>
              <w:left w:val="nil"/>
              <w:bottom w:val="single" w:sz="8" w:space="0" w:color="auto"/>
              <w:right w:val="single" w:sz="8" w:space="0" w:color="auto"/>
            </w:tcBorders>
            <w:vAlign w:val="center"/>
            <w:hideMark/>
          </w:tcPr>
          <w:p w14:paraId="50974BB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auditar acciones y transacciones de usuarios, cambios de configuración y ejecuciones de reglas con trazabilidad completa.</w:t>
            </w:r>
          </w:p>
        </w:tc>
      </w:tr>
      <w:tr w:rsidR="007A425E" w:rsidRPr="007A425E" w14:paraId="0062F8F8" w14:textId="77777777" w:rsidTr="007A425E">
        <w:trPr>
          <w:trHeight w:val="552"/>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02502FF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59</w:t>
            </w:r>
          </w:p>
        </w:tc>
        <w:tc>
          <w:tcPr>
            <w:tcW w:w="2996" w:type="dxa"/>
            <w:vMerge w:val="restart"/>
            <w:tcBorders>
              <w:top w:val="nil"/>
              <w:left w:val="single" w:sz="8" w:space="0" w:color="auto"/>
              <w:bottom w:val="single" w:sz="8" w:space="0" w:color="000000"/>
              <w:right w:val="single" w:sz="8" w:space="0" w:color="auto"/>
            </w:tcBorders>
            <w:vAlign w:val="center"/>
            <w:hideMark/>
          </w:tcPr>
          <w:p w14:paraId="594DAE96" w14:textId="1FE62589"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vMerge w:val="restart"/>
            <w:tcBorders>
              <w:top w:val="nil"/>
              <w:left w:val="single" w:sz="8" w:space="0" w:color="auto"/>
              <w:bottom w:val="single" w:sz="8" w:space="0" w:color="000000"/>
              <w:right w:val="single" w:sz="8" w:space="0" w:color="auto"/>
            </w:tcBorders>
            <w:vAlign w:val="center"/>
            <w:hideMark/>
          </w:tcPr>
          <w:p w14:paraId="142F9AB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Auditoría  </w:t>
            </w:r>
          </w:p>
        </w:tc>
        <w:tc>
          <w:tcPr>
            <w:tcW w:w="5613" w:type="dxa"/>
            <w:tcBorders>
              <w:top w:val="nil"/>
              <w:left w:val="nil"/>
              <w:bottom w:val="nil"/>
              <w:right w:val="single" w:sz="8" w:space="0" w:color="auto"/>
            </w:tcBorders>
            <w:vAlign w:val="center"/>
            <w:hideMark/>
          </w:tcPr>
          <w:p w14:paraId="01504B3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auditar actividad del sistema y modificaciones de datos y documentos de forma integral.</w:t>
            </w:r>
          </w:p>
        </w:tc>
      </w:tr>
      <w:tr w:rsidR="007A425E" w:rsidRPr="007A425E" w14:paraId="56BA2696" w14:textId="77777777" w:rsidTr="007A425E">
        <w:trPr>
          <w:trHeight w:val="1104"/>
          <w:jc w:val="center"/>
        </w:trPr>
        <w:tc>
          <w:tcPr>
            <w:tcW w:w="800" w:type="dxa"/>
            <w:vMerge/>
            <w:tcBorders>
              <w:top w:val="nil"/>
              <w:left w:val="single" w:sz="8" w:space="0" w:color="auto"/>
              <w:bottom w:val="single" w:sz="8" w:space="0" w:color="000000"/>
              <w:right w:val="single" w:sz="8" w:space="0" w:color="auto"/>
            </w:tcBorders>
            <w:vAlign w:val="center"/>
            <w:hideMark/>
          </w:tcPr>
          <w:p w14:paraId="6FF5F01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908E8A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75D21C8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189CE99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Los componentes de la solución deberán registrar y exponer trazabilidad completa de accesos, acciones, configuraciones, integraciones y operaciones técnicas, incluyendo al menos los siguientes campos de auditoría:</w:t>
            </w:r>
          </w:p>
        </w:tc>
      </w:tr>
      <w:tr w:rsidR="007A425E" w:rsidRPr="007A425E" w14:paraId="18AE1030"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3E67357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879E79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7B5BCB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21632F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Acceso y autenticación: </w:t>
            </w:r>
            <w:proofErr w:type="spellStart"/>
            <w:r w:rsidRPr="007A425E">
              <w:rPr>
                <w:rFonts w:ascii="Calibri" w:eastAsia="Times New Roman" w:hAnsi="Calibri" w:cs="Calibri"/>
                <w:color w:val="000000"/>
                <w:sz w:val="20"/>
                <w:szCs w:val="20"/>
                <w:lang w:eastAsia="es-EC"/>
              </w:rPr>
              <w:t>login</w:t>
            </w:r>
            <w:proofErr w:type="spellEnd"/>
            <w:r w:rsidRPr="007A425E">
              <w:rPr>
                <w:rFonts w:ascii="Calibri" w:eastAsia="Times New Roman" w:hAnsi="Calibri" w:cs="Calibri"/>
                <w:color w:val="000000"/>
                <w:sz w:val="20"/>
                <w:szCs w:val="20"/>
                <w:lang w:eastAsia="es-EC"/>
              </w:rPr>
              <w:t>/</w:t>
            </w:r>
            <w:proofErr w:type="spellStart"/>
            <w:r w:rsidRPr="007A425E">
              <w:rPr>
                <w:rFonts w:ascii="Calibri" w:eastAsia="Times New Roman" w:hAnsi="Calibri" w:cs="Calibri"/>
                <w:color w:val="000000"/>
                <w:sz w:val="20"/>
                <w:szCs w:val="20"/>
                <w:lang w:eastAsia="es-EC"/>
              </w:rPr>
              <w:t>logout</w:t>
            </w:r>
            <w:proofErr w:type="spellEnd"/>
            <w:r w:rsidRPr="007A425E">
              <w:rPr>
                <w:rFonts w:ascii="Calibri" w:eastAsia="Times New Roman" w:hAnsi="Calibri" w:cs="Calibri"/>
                <w:color w:val="000000"/>
                <w:sz w:val="20"/>
                <w:szCs w:val="20"/>
                <w:lang w:eastAsia="es-EC"/>
              </w:rPr>
              <w:t xml:space="preserve"> por usuario, rol y grupo; intentos fallidos; estado de sesión; IP origen/destino; tipo de autenticación (local, AD, OAuth/OIDC, MFA); dispositivo y navegador utilizado.</w:t>
            </w:r>
          </w:p>
        </w:tc>
      </w:tr>
      <w:tr w:rsidR="007A425E" w:rsidRPr="007A425E" w14:paraId="41343D69" w14:textId="77777777" w:rsidTr="007A425E">
        <w:trPr>
          <w:trHeight w:val="1380"/>
          <w:jc w:val="center"/>
        </w:trPr>
        <w:tc>
          <w:tcPr>
            <w:tcW w:w="800" w:type="dxa"/>
            <w:vMerge/>
            <w:tcBorders>
              <w:top w:val="nil"/>
              <w:left w:val="single" w:sz="8" w:space="0" w:color="auto"/>
              <w:bottom w:val="single" w:sz="8" w:space="0" w:color="000000"/>
              <w:right w:val="single" w:sz="8" w:space="0" w:color="auto"/>
            </w:tcBorders>
            <w:vAlign w:val="center"/>
            <w:hideMark/>
          </w:tcPr>
          <w:p w14:paraId="68AFCED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B9ED9E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81B78C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0F4FA5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Actividad funcional: acciones realizadas por el usuario (crear, modificar, eliminar, aprobar, rechazar); cambios en reglas, flujos, formularios y conectores; acceso y modificación de documentos o registros; ejecución de procesos BPM; uso de funcionalidades críticas (firma electrónica, validación tributaria).</w:t>
            </w:r>
          </w:p>
        </w:tc>
      </w:tr>
      <w:tr w:rsidR="007A425E" w:rsidRPr="007A425E" w14:paraId="25FAB72B"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0C24B74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7797888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0B5DF20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2E1991C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Configuración y administración: cambios en parametrización de la suite; activación/desactivación de módulos; modificaciones en perfiles y permisos; ajustes en configuración de seguridad.</w:t>
            </w:r>
          </w:p>
        </w:tc>
      </w:tr>
      <w:tr w:rsidR="007A425E" w:rsidRPr="007A425E" w14:paraId="04037111" w14:textId="77777777" w:rsidTr="007A425E">
        <w:trPr>
          <w:trHeight w:val="1104"/>
          <w:jc w:val="center"/>
        </w:trPr>
        <w:tc>
          <w:tcPr>
            <w:tcW w:w="800" w:type="dxa"/>
            <w:vMerge/>
            <w:tcBorders>
              <w:top w:val="nil"/>
              <w:left w:val="single" w:sz="8" w:space="0" w:color="auto"/>
              <w:bottom w:val="single" w:sz="8" w:space="0" w:color="000000"/>
              <w:right w:val="single" w:sz="8" w:space="0" w:color="auto"/>
            </w:tcBorders>
            <w:vAlign w:val="center"/>
            <w:hideMark/>
          </w:tcPr>
          <w:p w14:paraId="1E51BCB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0C1BF5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3D6B7B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F53918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Integración y conectividad: llamadas a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internas y externas (</w:t>
            </w:r>
            <w:proofErr w:type="spellStart"/>
            <w:r w:rsidRPr="007A425E">
              <w:rPr>
                <w:rFonts w:ascii="Calibri" w:eastAsia="Times New Roman" w:hAnsi="Calibri" w:cs="Calibri"/>
                <w:color w:val="000000"/>
                <w:sz w:val="20"/>
                <w:szCs w:val="20"/>
                <w:lang w:eastAsia="es-EC"/>
              </w:rPr>
              <w:t>endpoint</w:t>
            </w:r>
            <w:proofErr w:type="spellEnd"/>
            <w:r w:rsidRPr="007A425E">
              <w:rPr>
                <w:rFonts w:ascii="Calibri" w:eastAsia="Times New Roman" w:hAnsi="Calibri" w:cs="Calibri"/>
                <w:color w:val="000000"/>
                <w:sz w:val="20"/>
                <w:szCs w:val="20"/>
                <w:lang w:eastAsia="es-EC"/>
              </w:rPr>
              <w:t xml:space="preserve">, </w:t>
            </w:r>
            <w:proofErr w:type="spellStart"/>
            <w:r w:rsidRPr="007A425E">
              <w:rPr>
                <w:rFonts w:ascii="Calibri" w:eastAsia="Times New Roman" w:hAnsi="Calibri" w:cs="Calibri"/>
                <w:color w:val="000000"/>
                <w:sz w:val="20"/>
                <w:szCs w:val="20"/>
                <w:lang w:eastAsia="es-EC"/>
              </w:rPr>
              <w:t>payload</w:t>
            </w:r>
            <w:proofErr w:type="spellEnd"/>
            <w:r w:rsidRPr="007A425E">
              <w:rPr>
                <w:rFonts w:ascii="Calibri" w:eastAsia="Times New Roman" w:hAnsi="Calibri" w:cs="Calibri"/>
                <w:color w:val="000000"/>
                <w:sz w:val="20"/>
                <w:szCs w:val="20"/>
                <w:lang w:eastAsia="es-EC"/>
              </w:rPr>
              <w:t>, respuesta, error); eventos de mensajería; actividad de conectores; acceso a sistemas externos (bases de datos, servicios web, gestores documentales).</w:t>
            </w:r>
          </w:p>
        </w:tc>
      </w:tr>
      <w:tr w:rsidR="007A425E" w:rsidRPr="007A425E" w14:paraId="79D6767D" w14:textId="77777777" w:rsidTr="007A425E">
        <w:trPr>
          <w:trHeight w:val="1104"/>
          <w:jc w:val="center"/>
        </w:trPr>
        <w:tc>
          <w:tcPr>
            <w:tcW w:w="800" w:type="dxa"/>
            <w:vMerge/>
            <w:tcBorders>
              <w:top w:val="nil"/>
              <w:left w:val="single" w:sz="8" w:space="0" w:color="auto"/>
              <w:bottom w:val="single" w:sz="8" w:space="0" w:color="000000"/>
              <w:right w:val="single" w:sz="8" w:space="0" w:color="auto"/>
            </w:tcBorders>
            <w:vAlign w:val="center"/>
            <w:hideMark/>
          </w:tcPr>
          <w:p w14:paraId="13155E6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5D3B5B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5EE0F1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68C572E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Base de datos: consultas realizadas (SELECT, INSERT, UPDATE, DELETE); cantidad de registros accedidos o modificados; operaciones privilegiadas (DDL, DCL); errores SQL; tiempo de ejecución; condiciones WHERE; usuario conectado a nivel de BD y aplicativo.  </w:t>
            </w:r>
          </w:p>
        </w:tc>
      </w:tr>
      <w:tr w:rsidR="007A425E" w:rsidRPr="007A425E" w14:paraId="523D8718" w14:textId="77777777" w:rsidTr="007A425E">
        <w:trPr>
          <w:trHeight w:val="1104"/>
          <w:jc w:val="center"/>
        </w:trPr>
        <w:tc>
          <w:tcPr>
            <w:tcW w:w="800" w:type="dxa"/>
            <w:vMerge/>
            <w:tcBorders>
              <w:top w:val="nil"/>
              <w:left w:val="single" w:sz="8" w:space="0" w:color="auto"/>
              <w:bottom w:val="single" w:sz="8" w:space="0" w:color="000000"/>
              <w:right w:val="single" w:sz="8" w:space="0" w:color="auto"/>
            </w:tcBorders>
            <w:vAlign w:val="center"/>
            <w:hideMark/>
          </w:tcPr>
          <w:p w14:paraId="338C807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028193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0D5CF6C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4273096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 y cumplimiento: acceso a datos sensibles/confidenciales según clasificación; enmascaramiento aplicado según rol; alertas por violaciones de políticas; actividad anómala; acceso a pistas de auditoría; exportación de logs; registro de fecha/hora con precisión.</w:t>
            </w:r>
          </w:p>
        </w:tc>
      </w:tr>
      <w:tr w:rsidR="007A425E" w:rsidRPr="007A425E" w14:paraId="215A1466"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1D747E2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918A79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1E2044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6CAE90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Operación técnica: estado de servicios y módulos; logs estructurados; métricas de rendimiento y salud; actividad de </w:t>
            </w:r>
            <w:proofErr w:type="spellStart"/>
            <w:r w:rsidRPr="007A425E">
              <w:rPr>
                <w:rFonts w:ascii="Calibri" w:eastAsia="Times New Roman" w:hAnsi="Calibri" w:cs="Calibri"/>
                <w:color w:val="000000"/>
                <w:sz w:val="20"/>
                <w:szCs w:val="20"/>
                <w:lang w:eastAsia="es-EC"/>
              </w:rPr>
              <w:t>backup</w:t>
            </w:r>
            <w:proofErr w:type="spellEnd"/>
            <w:r w:rsidRPr="007A425E">
              <w:rPr>
                <w:rFonts w:ascii="Calibri" w:eastAsia="Times New Roman" w:hAnsi="Calibri" w:cs="Calibri"/>
                <w:color w:val="000000"/>
                <w:sz w:val="20"/>
                <w:szCs w:val="20"/>
                <w:lang w:eastAsia="es-EC"/>
              </w:rPr>
              <w:t>/</w:t>
            </w:r>
            <w:proofErr w:type="spellStart"/>
            <w:r w:rsidRPr="007A425E">
              <w:rPr>
                <w:rFonts w:ascii="Calibri" w:eastAsia="Times New Roman" w:hAnsi="Calibri" w:cs="Calibri"/>
                <w:color w:val="000000"/>
                <w:sz w:val="20"/>
                <w:szCs w:val="20"/>
                <w:lang w:eastAsia="es-EC"/>
              </w:rPr>
              <w:t>restore</w:t>
            </w:r>
            <w:proofErr w:type="spellEnd"/>
            <w:r w:rsidRPr="007A425E">
              <w:rPr>
                <w:rFonts w:ascii="Calibri" w:eastAsia="Times New Roman" w:hAnsi="Calibri" w:cs="Calibri"/>
                <w:color w:val="000000"/>
                <w:sz w:val="20"/>
                <w:szCs w:val="20"/>
                <w:lang w:eastAsia="es-EC"/>
              </w:rPr>
              <w:t>; cambios en configuración técnica (puertos, rutas, certificados).</w:t>
            </w:r>
          </w:p>
        </w:tc>
      </w:tr>
      <w:tr w:rsidR="007A425E" w:rsidRPr="007A425E" w14:paraId="40CFEF4E" w14:textId="77777777" w:rsidTr="007A425E">
        <w:trPr>
          <w:trHeight w:val="1392"/>
          <w:jc w:val="center"/>
        </w:trPr>
        <w:tc>
          <w:tcPr>
            <w:tcW w:w="800" w:type="dxa"/>
            <w:vMerge/>
            <w:tcBorders>
              <w:top w:val="nil"/>
              <w:left w:val="single" w:sz="8" w:space="0" w:color="auto"/>
              <w:bottom w:val="single" w:sz="8" w:space="0" w:color="000000"/>
              <w:right w:val="single" w:sz="8" w:space="0" w:color="auto"/>
            </w:tcBorders>
            <w:vAlign w:val="center"/>
            <w:hideMark/>
          </w:tcPr>
          <w:p w14:paraId="17CD4DA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A287C7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E3B028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78DC91B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auditoría deberá ser consultable por filtros (usuario, fecha, tipo de evento, módulo), exportable en formatos abiertos, con retención configurable y acceso controlado por rol. La solución deberá permitir trazabilidad en tiempo real y recuperación de eventos en ≤2 segundos por registro. </w:t>
            </w:r>
          </w:p>
        </w:tc>
      </w:tr>
      <w:tr w:rsidR="007A425E" w:rsidRPr="007A425E" w14:paraId="30020D05" w14:textId="77777777" w:rsidTr="007A425E">
        <w:trPr>
          <w:trHeight w:val="828"/>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041C4FB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60</w:t>
            </w:r>
          </w:p>
        </w:tc>
        <w:tc>
          <w:tcPr>
            <w:tcW w:w="2996" w:type="dxa"/>
            <w:vMerge w:val="restart"/>
            <w:tcBorders>
              <w:top w:val="nil"/>
              <w:left w:val="single" w:sz="8" w:space="0" w:color="auto"/>
              <w:bottom w:val="single" w:sz="8" w:space="0" w:color="000000"/>
              <w:right w:val="single" w:sz="8" w:space="0" w:color="auto"/>
            </w:tcBorders>
            <w:vAlign w:val="center"/>
            <w:hideMark/>
          </w:tcPr>
          <w:p w14:paraId="4D29F04C" w14:textId="5B3ACABD"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vMerge w:val="restart"/>
            <w:tcBorders>
              <w:top w:val="nil"/>
              <w:left w:val="single" w:sz="8" w:space="0" w:color="auto"/>
              <w:bottom w:val="single" w:sz="8" w:space="0" w:color="000000"/>
              <w:right w:val="single" w:sz="8" w:space="0" w:color="auto"/>
            </w:tcBorders>
            <w:vAlign w:val="center"/>
            <w:hideMark/>
          </w:tcPr>
          <w:p w14:paraId="5CF479E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Criterios de auditoría</w:t>
            </w:r>
          </w:p>
        </w:tc>
        <w:tc>
          <w:tcPr>
            <w:tcW w:w="5613" w:type="dxa"/>
            <w:tcBorders>
              <w:top w:val="nil"/>
              <w:left w:val="nil"/>
              <w:bottom w:val="nil"/>
              <w:right w:val="single" w:sz="8" w:space="0" w:color="auto"/>
            </w:tcBorders>
            <w:vAlign w:val="center"/>
            <w:hideMark/>
          </w:tcPr>
          <w:p w14:paraId="29F4D0FC"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registrar eventos con criterios mínimos definidos (accesos, operaciones, </w:t>
            </w:r>
            <w:proofErr w:type="spellStart"/>
            <w:r w:rsidRPr="007A425E">
              <w:rPr>
                <w:rFonts w:ascii="Calibri" w:eastAsia="Times New Roman" w:hAnsi="Calibri" w:cs="Calibri"/>
                <w:color w:val="000000"/>
                <w:sz w:val="20"/>
                <w:szCs w:val="20"/>
                <w:lang w:eastAsia="es-EC"/>
              </w:rPr>
              <w:t>IPs</w:t>
            </w:r>
            <w:proofErr w:type="spellEnd"/>
            <w:r w:rsidRPr="007A425E">
              <w:rPr>
                <w:rFonts w:ascii="Calibri" w:eastAsia="Times New Roman" w:hAnsi="Calibri" w:cs="Calibri"/>
                <w:color w:val="000000"/>
                <w:sz w:val="20"/>
                <w:szCs w:val="20"/>
                <w:lang w:eastAsia="es-EC"/>
              </w:rPr>
              <w:t>, tiempos, con trazabilidad consultable menor a 2 segundos por registro.</w:t>
            </w:r>
          </w:p>
        </w:tc>
      </w:tr>
      <w:tr w:rsidR="007A425E" w:rsidRPr="007A425E" w14:paraId="386DC626"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59BA388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581695D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757F1EF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28D2C21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auditoría debe permitir identificar al menos los siguientes criterios:</w:t>
            </w:r>
          </w:p>
        </w:tc>
      </w:tr>
      <w:tr w:rsidR="007A425E" w:rsidRPr="007A425E" w14:paraId="7824F1B1"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6657840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6720EA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20A85F3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765A100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 Login y </w:t>
            </w:r>
            <w:proofErr w:type="spellStart"/>
            <w:r w:rsidRPr="007A425E">
              <w:rPr>
                <w:rFonts w:ascii="Calibri" w:eastAsia="Times New Roman" w:hAnsi="Calibri" w:cs="Calibri"/>
                <w:color w:val="000000"/>
                <w:sz w:val="20"/>
                <w:szCs w:val="20"/>
                <w:lang w:eastAsia="es-EC"/>
              </w:rPr>
              <w:t>Logouts</w:t>
            </w:r>
            <w:proofErr w:type="spellEnd"/>
          </w:p>
        </w:tc>
      </w:tr>
      <w:tr w:rsidR="007A425E" w:rsidRPr="007A425E" w14:paraId="52CBB744"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3C5912E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0370EA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B39AAE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0E5E4D6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Cantidad de Login fallidos.</w:t>
            </w:r>
          </w:p>
        </w:tc>
      </w:tr>
      <w:tr w:rsidR="007A425E" w:rsidRPr="007A425E" w14:paraId="0F87C871"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6C427F8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E24018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65AEEE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798C1ED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Cantidad de registros procesados o modificados.</w:t>
            </w:r>
          </w:p>
        </w:tc>
      </w:tr>
      <w:tr w:rsidR="007A425E" w:rsidRPr="007A425E" w14:paraId="4A2D5CBB"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672162A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6D2851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547ECA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434F098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Tipo de usuario y/o grupo de usuarios que se conectaron.</w:t>
            </w:r>
          </w:p>
        </w:tc>
      </w:tr>
      <w:tr w:rsidR="007A425E" w:rsidRPr="007A425E" w14:paraId="102411AE"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494B3FD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66DDB12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1E274B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47A4963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IP origen.</w:t>
            </w:r>
          </w:p>
        </w:tc>
      </w:tr>
      <w:tr w:rsidR="007A425E" w:rsidRPr="007A425E" w14:paraId="135DE4C5"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52C6F52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5B8F60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13C317E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E77C21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IP destino.</w:t>
            </w:r>
          </w:p>
        </w:tc>
      </w:tr>
      <w:tr w:rsidR="007A425E" w:rsidRPr="007A425E" w14:paraId="73AFCB32"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141E091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5F4ED785"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6EAEFD4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4A387A1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Objeto accedido.</w:t>
            </w:r>
          </w:p>
        </w:tc>
      </w:tr>
      <w:tr w:rsidR="007A425E" w:rsidRPr="007A425E" w14:paraId="05BFC92A"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3A13220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B0CE02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0800E75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25B7583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Registro de la acción realizada</w:t>
            </w:r>
          </w:p>
        </w:tc>
      </w:tr>
      <w:tr w:rsidR="007A425E" w:rsidRPr="007A425E" w14:paraId="1DD45DA6" w14:textId="77777777" w:rsidTr="007A425E">
        <w:trPr>
          <w:trHeight w:val="1944"/>
          <w:jc w:val="center"/>
        </w:trPr>
        <w:tc>
          <w:tcPr>
            <w:tcW w:w="800" w:type="dxa"/>
            <w:vMerge/>
            <w:tcBorders>
              <w:top w:val="nil"/>
              <w:left w:val="single" w:sz="8" w:space="0" w:color="auto"/>
              <w:bottom w:val="single" w:sz="8" w:space="0" w:color="000000"/>
              <w:right w:val="single" w:sz="8" w:space="0" w:color="auto"/>
            </w:tcBorders>
            <w:vAlign w:val="center"/>
            <w:hideMark/>
          </w:tcPr>
          <w:p w14:paraId="299516E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579CF3D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B442B7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4145622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Entre otros. El proveedor será responsable de asegurar que la solución entregue las capacidades técnicas necesarias para cumplir estas métricas y deberá demostrarlo mediante pruebas de aceptación y validación. Factores externos como la configuración de red o mecanismos de seguridad deberán ser considerados en dichas pruebas, pero no eximen al proveedor de garantizar la funcionalidad y desempeño de la solución.</w:t>
            </w:r>
          </w:p>
        </w:tc>
      </w:tr>
      <w:tr w:rsidR="007A425E" w:rsidRPr="007A425E" w14:paraId="123FAB12"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7719621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61</w:t>
            </w:r>
          </w:p>
        </w:tc>
        <w:tc>
          <w:tcPr>
            <w:tcW w:w="2996" w:type="dxa"/>
            <w:tcBorders>
              <w:top w:val="nil"/>
              <w:left w:val="nil"/>
              <w:bottom w:val="single" w:sz="8" w:space="0" w:color="auto"/>
              <w:right w:val="single" w:sz="8" w:space="0" w:color="auto"/>
            </w:tcBorders>
            <w:vAlign w:val="center"/>
            <w:hideMark/>
          </w:tcPr>
          <w:p w14:paraId="23D54D2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48FD6C3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Cifrado de respaldos</w:t>
            </w:r>
          </w:p>
        </w:tc>
        <w:tc>
          <w:tcPr>
            <w:tcW w:w="5613" w:type="dxa"/>
            <w:tcBorders>
              <w:top w:val="nil"/>
              <w:left w:val="nil"/>
              <w:bottom w:val="single" w:sz="8" w:space="0" w:color="auto"/>
              <w:right w:val="single" w:sz="8" w:space="0" w:color="auto"/>
            </w:tcBorders>
            <w:vAlign w:val="center"/>
            <w:hideMark/>
          </w:tcPr>
          <w:p w14:paraId="3D2D69C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cifrar los respaldos en reposo como medida de seguridad e integrarse con la solución de respaldos que utiliza el SRI, para su almacenamiento.</w:t>
            </w:r>
          </w:p>
        </w:tc>
      </w:tr>
      <w:tr w:rsidR="007A425E" w:rsidRPr="007A425E" w14:paraId="3C34C516" w14:textId="77777777" w:rsidTr="007A425E">
        <w:trPr>
          <w:trHeight w:val="1668"/>
          <w:jc w:val="center"/>
        </w:trPr>
        <w:tc>
          <w:tcPr>
            <w:tcW w:w="800" w:type="dxa"/>
            <w:tcBorders>
              <w:top w:val="nil"/>
              <w:left w:val="single" w:sz="8" w:space="0" w:color="auto"/>
              <w:bottom w:val="single" w:sz="8" w:space="0" w:color="auto"/>
              <w:right w:val="single" w:sz="8" w:space="0" w:color="auto"/>
            </w:tcBorders>
            <w:vAlign w:val="center"/>
            <w:hideMark/>
          </w:tcPr>
          <w:p w14:paraId="2F9298B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62</w:t>
            </w:r>
          </w:p>
        </w:tc>
        <w:tc>
          <w:tcPr>
            <w:tcW w:w="2996" w:type="dxa"/>
            <w:tcBorders>
              <w:top w:val="nil"/>
              <w:left w:val="nil"/>
              <w:bottom w:val="single" w:sz="8" w:space="0" w:color="auto"/>
              <w:right w:val="single" w:sz="8" w:space="0" w:color="auto"/>
            </w:tcBorders>
            <w:vAlign w:val="center"/>
            <w:hideMark/>
          </w:tcPr>
          <w:p w14:paraId="25F9BA1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7865BA4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Control de acceso</w:t>
            </w:r>
          </w:p>
        </w:tc>
        <w:tc>
          <w:tcPr>
            <w:tcW w:w="5613" w:type="dxa"/>
            <w:tcBorders>
              <w:top w:val="nil"/>
              <w:left w:val="nil"/>
              <w:bottom w:val="single" w:sz="8" w:space="0" w:color="auto"/>
              <w:right w:val="single" w:sz="8" w:space="0" w:color="auto"/>
            </w:tcBorders>
            <w:vAlign w:val="center"/>
            <w:hideMark/>
          </w:tcPr>
          <w:p w14:paraId="71A75A0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Se requiere control de acceso basado en roles (RBAC) o atributos (ABAC), garantizando granularidad y flexibilidad en la asignación de permisos. Asimismo, deberá integrarse con el mecanismo centralizado de autenticación institucional vigente (Active </w:t>
            </w:r>
            <w:proofErr w:type="spellStart"/>
            <w:r w:rsidRPr="007A425E">
              <w:rPr>
                <w:rFonts w:ascii="Calibri" w:eastAsia="Times New Roman" w:hAnsi="Calibri" w:cs="Calibri"/>
                <w:color w:val="000000"/>
                <w:sz w:val="20"/>
                <w:szCs w:val="20"/>
                <w:lang w:eastAsia="es-EC"/>
              </w:rPr>
              <w:t>Directory</w:t>
            </w:r>
            <w:proofErr w:type="spellEnd"/>
            <w:r w:rsidRPr="007A425E">
              <w:rPr>
                <w:rFonts w:ascii="Calibri" w:eastAsia="Times New Roman" w:hAnsi="Calibri" w:cs="Calibri"/>
                <w:color w:val="000000"/>
                <w:sz w:val="20"/>
                <w:szCs w:val="20"/>
                <w:lang w:eastAsia="es-EC"/>
              </w:rPr>
              <w:t xml:space="preserve">/LDAP) y </w:t>
            </w:r>
            <w:proofErr w:type="spellStart"/>
            <w:r w:rsidRPr="007A425E">
              <w:rPr>
                <w:rFonts w:ascii="Calibri" w:eastAsia="Times New Roman" w:hAnsi="Calibri" w:cs="Calibri"/>
                <w:color w:val="000000"/>
                <w:sz w:val="20"/>
                <w:szCs w:val="20"/>
                <w:lang w:eastAsia="es-EC"/>
              </w:rPr>
              <w:t>disponibilizar</w:t>
            </w:r>
            <w:proofErr w:type="spellEnd"/>
            <w:r w:rsidRPr="007A425E">
              <w:rPr>
                <w:rFonts w:ascii="Calibri" w:eastAsia="Times New Roman" w:hAnsi="Calibri" w:cs="Calibri"/>
                <w:color w:val="000000"/>
                <w:sz w:val="20"/>
                <w:szCs w:val="20"/>
                <w:lang w:eastAsia="es-EC"/>
              </w:rPr>
              <w:t xml:space="preserve"> un mecanismo de autorización para gestión de permisos en las herramientas.</w:t>
            </w:r>
          </w:p>
        </w:tc>
      </w:tr>
      <w:tr w:rsidR="007A425E" w:rsidRPr="007A425E" w14:paraId="6BA5D2EF"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4F79A60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63</w:t>
            </w:r>
          </w:p>
        </w:tc>
        <w:tc>
          <w:tcPr>
            <w:tcW w:w="2996" w:type="dxa"/>
            <w:tcBorders>
              <w:top w:val="nil"/>
              <w:left w:val="nil"/>
              <w:bottom w:val="single" w:sz="8" w:space="0" w:color="auto"/>
              <w:right w:val="single" w:sz="8" w:space="0" w:color="auto"/>
            </w:tcBorders>
            <w:vAlign w:val="center"/>
            <w:hideMark/>
          </w:tcPr>
          <w:p w14:paraId="08E3F80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2CAEB39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Entrega de pistas de auditoría</w:t>
            </w:r>
          </w:p>
        </w:tc>
        <w:tc>
          <w:tcPr>
            <w:tcW w:w="5613" w:type="dxa"/>
            <w:tcBorders>
              <w:top w:val="nil"/>
              <w:left w:val="nil"/>
              <w:bottom w:val="single" w:sz="8" w:space="0" w:color="auto"/>
              <w:right w:val="single" w:sz="8" w:space="0" w:color="auto"/>
            </w:tcBorders>
            <w:vAlign w:val="center"/>
            <w:hideMark/>
          </w:tcPr>
          <w:p w14:paraId="452D085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garantizar acceso y entrega de pistas de auditoría conforme requerimientos del SRI.</w:t>
            </w:r>
          </w:p>
        </w:tc>
      </w:tr>
      <w:tr w:rsidR="007A425E" w:rsidRPr="007A425E" w14:paraId="4F47C898"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539A192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64</w:t>
            </w:r>
          </w:p>
        </w:tc>
        <w:tc>
          <w:tcPr>
            <w:tcW w:w="2996" w:type="dxa"/>
            <w:tcBorders>
              <w:top w:val="nil"/>
              <w:left w:val="nil"/>
              <w:bottom w:val="single" w:sz="8" w:space="0" w:color="auto"/>
              <w:right w:val="single" w:sz="8" w:space="0" w:color="auto"/>
            </w:tcBorders>
            <w:vAlign w:val="center"/>
            <w:hideMark/>
          </w:tcPr>
          <w:p w14:paraId="59C3D09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482658D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Firma electrónica</w:t>
            </w:r>
          </w:p>
        </w:tc>
        <w:tc>
          <w:tcPr>
            <w:tcW w:w="5613" w:type="dxa"/>
            <w:tcBorders>
              <w:top w:val="nil"/>
              <w:left w:val="nil"/>
              <w:bottom w:val="single" w:sz="8" w:space="0" w:color="auto"/>
              <w:right w:val="single" w:sz="8" w:space="0" w:color="auto"/>
            </w:tcBorders>
            <w:vAlign w:val="center"/>
            <w:hideMark/>
          </w:tcPr>
          <w:p w14:paraId="022B397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garantizar la integridad de documentos firmados electrónicamente y registrar fecha/hora conforme a la Ley de Comercio Electrónico y normativa vigente en Ecuador. </w:t>
            </w:r>
          </w:p>
        </w:tc>
      </w:tr>
      <w:tr w:rsidR="007A425E" w:rsidRPr="007A425E" w14:paraId="22BDB10E"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0FE7449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65</w:t>
            </w:r>
          </w:p>
        </w:tc>
        <w:tc>
          <w:tcPr>
            <w:tcW w:w="2996" w:type="dxa"/>
            <w:tcBorders>
              <w:top w:val="nil"/>
              <w:left w:val="nil"/>
              <w:bottom w:val="single" w:sz="8" w:space="0" w:color="auto"/>
              <w:right w:val="single" w:sz="8" w:space="0" w:color="auto"/>
            </w:tcBorders>
            <w:vAlign w:val="center"/>
            <w:hideMark/>
          </w:tcPr>
          <w:p w14:paraId="363E34E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0B7FA38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Mecanismos de autenticación y autorización</w:t>
            </w:r>
          </w:p>
        </w:tc>
        <w:tc>
          <w:tcPr>
            <w:tcW w:w="5613" w:type="dxa"/>
            <w:tcBorders>
              <w:top w:val="nil"/>
              <w:left w:val="nil"/>
              <w:bottom w:val="single" w:sz="8" w:space="0" w:color="auto"/>
              <w:right w:val="single" w:sz="8" w:space="0" w:color="auto"/>
            </w:tcBorders>
            <w:vAlign w:val="center"/>
            <w:hideMark/>
          </w:tcPr>
          <w:p w14:paraId="3AB09129"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suite tecnológica integral deberá garantizar mecanismos de autenticación y autorización basados en roles y perfiles, integración con directorios institucionales (LDAP/AD)</w:t>
            </w:r>
          </w:p>
        </w:tc>
      </w:tr>
      <w:tr w:rsidR="007A425E" w:rsidRPr="007A425E" w14:paraId="5B36908F"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623E33C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66</w:t>
            </w:r>
          </w:p>
        </w:tc>
        <w:tc>
          <w:tcPr>
            <w:tcW w:w="2996" w:type="dxa"/>
            <w:tcBorders>
              <w:top w:val="nil"/>
              <w:left w:val="nil"/>
              <w:bottom w:val="single" w:sz="8" w:space="0" w:color="auto"/>
              <w:right w:val="single" w:sz="8" w:space="0" w:color="auto"/>
            </w:tcBorders>
            <w:vAlign w:val="center"/>
            <w:hideMark/>
          </w:tcPr>
          <w:p w14:paraId="07558DB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782AB4AA"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Integración OAuth/OIDC</w:t>
            </w:r>
          </w:p>
        </w:tc>
        <w:tc>
          <w:tcPr>
            <w:tcW w:w="5613" w:type="dxa"/>
            <w:tcBorders>
              <w:top w:val="nil"/>
              <w:left w:val="nil"/>
              <w:bottom w:val="single" w:sz="8" w:space="0" w:color="auto"/>
              <w:right w:val="single" w:sz="8" w:space="0" w:color="auto"/>
            </w:tcBorders>
            <w:vAlign w:val="center"/>
            <w:hideMark/>
          </w:tcPr>
          <w:p w14:paraId="1961E262"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integrarse de forma nativa con sistemas de identidad mediante OAuth 2.0 / </w:t>
            </w:r>
            <w:proofErr w:type="spellStart"/>
            <w:r w:rsidRPr="007A425E">
              <w:rPr>
                <w:rFonts w:ascii="Calibri" w:eastAsia="Times New Roman" w:hAnsi="Calibri" w:cs="Calibri"/>
                <w:color w:val="000000"/>
                <w:sz w:val="20"/>
                <w:szCs w:val="20"/>
                <w:lang w:eastAsia="es-EC"/>
              </w:rPr>
              <w:t>OpenID</w:t>
            </w:r>
            <w:proofErr w:type="spellEnd"/>
            <w:r w:rsidRPr="007A425E">
              <w:rPr>
                <w:rFonts w:ascii="Calibri" w:eastAsia="Times New Roman" w:hAnsi="Calibri" w:cs="Calibri"/>
                <w:color w:val="000000"/>
                <w:sz w:val="20"/>
                <w:szCs w:val="20"/>
                <w:lang w:eastAsia="es-EC"/>
              </w:rPr>
              <w:t xml:space="preserve"> </w:t>
            </w:r>
            <w:proofErr w:type="spellStart"/>
            <w:r w:rsidRPr="007A425E">
              <w:rPr>
                <w:rFonts w:ascii="Calibri" w:eastAsia="Times New Roman" w:hAnsi="Calibri" w:cs="Calibri"/>
                <w:color w:val="000000"/>
                <w:sz w:val="20"/>
                <w:szCs w:val="20"/>
                <w:lang w:eastAsia="es-EC"/>
              </w:rPr>
              <w:t>Connect</w:t>
            </w:r>
            <w:proofErr w:type="spellEnd"/>
            <w:r w:rsidRPr="007A425E">
              <w:rPr>
                <w:rFonts w:ascii="Calibri" w:eastAsia="Times New Roman" w:hAnsi="Calibri" w:cs="Calibri"/>
                <w:color w:val="000000"/>
                <w:sz w:val="20"/>
                <w:szCs w:val="20"/>
                <w:lang w:eastAsia="es-EC"/>
              </w:rPr>
              <w:t>.</w:t>
            </w:r>
          </w:p>
        </w:tc>
      </w:tr>
      <w:tr w:rsidR="007A425E" w:rsidRPr="007A425E" w14:paraId="721C6431"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5754985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67</w:t>
            </w:r>
          </w:p>
        </w:tc>
        <w:tc>
          <w:tcPr>
            <w:tcW w:w="2996" w:type="dxa"/>
            <w:tcBorders>
              <w:top w:val="nil"/>
              <w:left w:val="nil"/>
              <w:bottom w:val="single" w:sz="8" w:space="0" w:color="auto"/>
              <w:right w:val="single" w:sz="8" w:space="0" w:color="auto"/>
            </w:tcBorders>
            <w:vAlign w:val="center"/>
            <w:hideMark/>
          </w:tcPr>
          <w:p w14:paraId="6364112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10F2C1B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PKI y revocatoria</w:t>
            </w:r>
          </w:p>
        </w:tc>
        <w:tc>
          <w:tcPr>
            <w:tcW w:w="5613" w:type="dxa"/>
            <w:tcBorders>
              <w:top w:val="nil"/>
              <w:left w:val="nil"/>
              <w:bottom w:val="single" w:sz="8" w:space="0" w:color="auto"/>
              <w:right w:val="single" w:sz="8" w:space="0" w:color="auto"/>
            </w:tcBorders>
            <w:vAlign w:val="center"/>
            <w:hideMark/>
          </w:tcPr>
          <w:p w14:paraId="4BFE33F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permitir la gestión de revocatoria de certificados de firma electrónica y la integración con la autoridad de certificación correspondiente, si aplica.</w:t>
            </w:r>
          </w:p>
        </w:tc>
      </w:tr>
      <w:tr w:rsidR="007A425E" w:rsidRPr="007A425E" w14:paraId="620949EA" w14:textId="77777777" w:rsidTr="007A425E">
        <w:trPr>
          <w:trHeight w:val="840"/>
          <w:jc w:val="center"/>
        </w:trPr>
        <w:tc>
          <w:tcPr>
            <w:tcW w:w="800" w:type="dxa"/>
            <w:tcBorders>
              <w:top w:val="nil"/>
              <w:left w:val="single" w:sz="8" w:space="0" w:color="auto"/>
              <w:bottom w:val="single" w:sz="8" w:space="0" w:color="auto"/>
              <w:right w:val="single" w:sz="8" w:space="0" w:color="auto"/>
            </w:tcBorders>
            <w:vAlign w:val="center"/>
            <w:hideMark/>
          </w:tcPr>
          <w:p w14:paraId="463CA75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68</w:t>
            </w:r>
          </w:p>
        </w:tc>
        <w:tc>
          <w:tcPr>
            <w:tcW w:w="2996" w:type="dxa"/>
            <w:tcBorders>
              <w:top w:val="nil"/>
              <w:left w:val="nil"/>
              <w:bottom w:val="single" w:sz="8" w:space="0" w:color="auto"/>
              <w:right w:val="single" w:sz="8" w:space="0" w:color="auto"/>
            </w:tcBorders>
            <w:vAlign w:val="center"/>
            <w:hideMark/>
          </w:tcPr>
          <w:p w14:paraId="1FED3C2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tcBorders>
              <w:top w:val="nil"/>
              <w:left w:val="nil"/>
              <w:bottom w:val="single" w:sz="8" w:space="0" w:color="auto"/>
              <w:right w:val="single" w:sz="8" w:space="0" w:color="auto"/>
            </w:tcBorders>
            <w:vAlign w:val="center"/>
            <w:hideMark/>
          </w:tcPr>
          <w:p w14:paraId="6B28914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Políticas de contraseñas y MFA</w:t>
            </w:r>
          </w:p>
        </w:tc>
        <w:tc>
          <w:tcPr>
            <w:tcW w:w="5613" w:type="dxa"/>
            <w:tcBorders>
              <w:top w:val="nil"/>
              <w:left w:val="nil"/>
              <w:bottom w:val="single" w:sz="8" w:space="0" w:color="auto"/>
              <w:right w:val="single" w:sz="8" w:space="0" w:color="auto"/>
            </w:tcBorders>
            <w:vAlign w:val="center"/>
            <w:hideMark/>
          </w:tcPr>
          <w:p w14:paraId="0E5B5CF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solución adquirida deberá permitir políticas de contraseñas configurables, como caducidad de la contraseña, longitud, complejidad entre otros y contar con </w:t>
            </w:r>
            <w:proofErr w:type="spellStart"/>
            <w:r w:rsidRPr="007A425E">
              <w:rPr>
                <w:rFonts w:ascii="Calibri" w:eastAsia="Times New Roman" w:hAnsi="Calibri" w:cs="Calibri"/>
                <w:color w:val="000000"/>
                <w:sz w:val="20"/>
                <w:szCs w:val="20"/>
                <w:lang w:eastAsia="es-EC"/>
              </w:rPr>
              <w:t>multifactor</w:t>
            </w:r>
            <w:proofErr w:type="spellEnd"/>
            <w:r w:rsidRPr="007A425E">
              <w:rPr>
                <w:rFonts w:ascii="Calibri" w:eastAsia="Times New Roman" w:hAnsi="Calibri" w:cs="Calibri"/>
                <w:color w:val="000000"/>
                <w:sz w:val="20"/>
                <w:szCs w:val="20"/>
                <w:lang w:eastAsia="es-EC"/>
              </w:rPr>
              <w:t xml:space="preserve"> para autenticación.</w:t>
            </w:r>
          </w:p>
        </w:tc>
      </w:tr>
      <w:tr w:rsidR="007A425E" w:rsidRPr="007A425E" w14:paraId="4F318C64" w14:textId="77777777" w:rsidTr="007A425E">
        <w:trPr>
          <w:trHeight w:val="552"/>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196570F9"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69</w:t>
            </w:r>
          </w:p>
        </w:tc>
        <w:tc>
          <w:tcPr>
            <w:tcW w:w="2996" w:type="dxa"/>
            <w:vMerge w:val="restart"/>
            <w:tcBorders>
              <w:top w:val="nil"/>
              <w:left w:val="single" w:sz="8" w:space="0" w:color="auto"/>
              <w:bottom w:val="single" w:sz="8" w:space="0" w:color="000000"/>
              <w:right w:val="single" w:sz="8" w:space="0" w:color="auto"/>
            </w:tcBorders>
            <w:vAlign w:val="center"/>
            <w:hideMark/>
          </w:tcPr>
          <w:p w14:paraId="63ABC79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w:t>
            </w:r>
          </w:p>
        </w:tc>
        <w:tc>
          <w:tcPr>
            <w:tcW w:w="1780" w:type="dxa"/>
            <w:vMerge w:val="restart"/>
            <w:tcBorders>
              <w:top w:val="nil"/>
              <w:left w:val="single" w:sz="8" w:space="0" w:color="auto"/>
              <w:bottom w:val="single" w:sz="8" w:space="0" w:color="000000"/>
              <w:right w:val="single" w:sz="8" w:space="0" w:color="auto"/>
            </w:tcBorders>
            <w:vAlign w:val="center"/>
            <w:hideMark/>
          </w:tcPr>
          <w:p w14:paraId="5013C79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 de datos</w:t>
            </w:r>
          </w:p>
        </w:tc>
        <w:tc>
          <w:tcPr>
            <w:tcW w:w="5613" w:type="dxa"/>
            <w:tcBorders>
              <w:top w:val="nil"/>
              <w:left w:val="nil"/>
              <w:bottom w:val="nil"/>
              <w:right w:val="single" w:sz="8" w:space="0" w:color="auto"/>
            </w:tcBorders>
            <w:vAlign w:val="center"/>
            <w:hideMark/>
          </w:tcPr>
          <w:p w14:paraId="21DDA5E2"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información deberá estar cifrada en tránsito, utilizando protocolos seguros (TLS 1.2 o superior).</w:t>
            </w:r>
          </w:p>
        </w:tc>
      </w:tr>
      <w:tr w:rsidR="007A425E" w:rsidRPr="007A425E" w14:paraId="6B02C4C3"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3AE3C87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F8F86C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031730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1417AAD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información almacenada deberá estar cifrada en reposo, utilizando algoritmos criptográficos robustos (AES-256 o equivalente).</w:t>
            </w:r>
          </w:p>
        </w:tc>
      </w:tr>
      <w:tr w:rsidR="007A425E" w:rsidRPr="007A425E" w14:paraId="3A0AE158" w14:textId="77777777" w:rsidTr="007A425E">
        <w:trPr>
          <w:trHeight w:val="564"/>
          <w:jc w:val="center"/>
        </w:trPr>
        <w:tc>
          <w:tcPr>
            <w:tcW w:w="800" w:type="dxa"/>
            <w:vMerge/>
            <w:tcBorders>
              <w:top w:val="nil"/>
              <w:left w:val="single" w:sz="8" w:space="0" w:color="auto"/>
              <w:bottom w:val="single" w:sz="8" w:space="0" w:color="000000"/>
              <w:right w:val="single" w:sz="8" w:space="0" w:color="auto"/>
            </w:tcBorders>
            <w:vAlign w:val="center"/>
            <w:hideMark/>
          </w:tcPr>
          <w:p w14:paraId="64435CEE"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7510C7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4B585B0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17A89939"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Las claves criptográficas deberán ser gestionadas de forma segura, con controles de acceso y rotación periódica.</w:t>
            </w:r>
          </w:p>
        </w:tc>
      </w:tr>
      <w:tr w:rsidR="007A425E" w:rsidRPr="007A425E" w14:paraId="78E960D5" w14:textId="77777777" w:rsidTr="007A425E">
        <w:trPr>
          <w:trHeight w:val="1392"/>
          <w:jc w:val="center"/>
        </w:trPr>
        <w:tc>
          <w:tcPr>
            <w:tcW w:w="800" w:type="dxa"/>
            <w:tcBorders>
              <w:top w:val="nil"/>
              <w:left w:val="single" w:sz="8" w:space="0" w:color="auto"/>
              <w:bottom w:val="single" w:sz="8" w:space="0" w:color="auto"/>
              <w:right w:val="single" w:sz="8" w:space="0" w:color="auto"/>
            </w:tcBorders>
            <w:vAlign w:val="center"/>
            <w:hideMark/>
          </w:tcPr>
          <w:p w14:paraId="4E73CB4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70</w:t>
            </w:r>
          </w:p>
        </w:tc>
        <w:tc>
          <w:tcPr>
            <w:tcW w:w="2996" w:type="dxa"/>
            <w:tcBorders>
              <w:top w:val="nil"/>
              <w:left w:val="nil"/>
              <w:bottom w:val="single" w:sz="8" w:space="0" w:color="auto"/>
              <w:right w:val="single" w:sz="8" w:space="0" w:color="auto"/>
            </w:tcBorders>
            <w:vAlign w:val="center"/>
            <w:hideMark/>
          </w:tcPr>
          <w:p w14:paraId="4B4B3D1C"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 / Documental</w:t>
            </w:r>
          </w:p>
        </w:tc>
        <w:tc>
          <w:tcPr>
            <w:tcW w:w="1780" w:type="dxa"/>
            <w:tcBorders>
              <w:top w:val="nil"/>
              <w:left w:val="nil"/>
              <w:bottom w:val="single" w:sz="8" w:space="0" w:color="auto"/>
              <w:right w:val="single" w:sz="8" w:space="0" w:color="auto"/>
            </w:tcBorders>
            <w:vAlign w:val="center"/>
            <w:hideMark/>
          </w:tcPr>
          <w:p w14:paraId="207449D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Firma electrónica integrada</w:t>
            </w:r>
          </w:p>
        </w:tc>
        <w:tc>
          <w:tcPr>
            <w:tcW w:w="5613" w:type="dxa"/>
            <w:tcBorders>
              <w:top w:val="nil"/>
              <w:left w:val="nil"/>
              <w:bottom w:val="single" w:sz="8" w:space="0" w:color="auto"/>
              <w:right w:val="single" w:sz="8" w:space="0" w:color="auto"/>
            </w:tcBorders>
            <w:vAlign w:val="center"/>
            <w:hideMark/>
          </w:tcPr>
          <w:p w14:paraId="2841A1D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deberá permitir la firma electrónica de documentos generados o gestionados por BPMS, BRMS o ECM, integrándose con servicios de firma reconocidos legalmente, garantizando integridad, no repudio, sello de tiempo y validez jurídica conforme normativa ecuatoriana.</w:t>
            </w:r>
          </w:p>
        </w:tc>
      </w:tr>
      <w:tr w:rsidR="007A425E" w:rsidRPr="007A425E" w14:paraId="65F89C6B" w14:textId="77777777" w:rsidTr="007A425E">
        <w:trPr>
          <w:trHeight w:val="1656"/>
          <w:jc w:val="center"/>
        </w:trPr>
        <w:tc>
          <w:tcPr>
            <w:tcW w:w="800" w:type="dxa"/>
            <w:vMerge w:val="restart"/>
            <w:tcBorders>
              <w:top w:val="nil"/>
              <w:left w:val="single" w:sz="8" w:space="0" w:color="auto"/>
              <w:bottom w:val="single" w:sz="8" w:space="0" w:color="000000"/>
              <w:right w:val="single" w:sz="8" w:space="0" w:color="auto"/>
            </w:tcBorders>
            <w:vAlign w:val="center"/>
            <w:hideMark/>
          </w:tcPr>
          <w:p w14:paraId="2C34B50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71</w:t>
            </w:r>
          </w:p>
        </w:tc>
        <w:tc>
          <w:tcPr>
            <w:tcW w:w="2996" w:type="dxa"/>
            <w:vMerge w:val="restart"/>
            <w:tcBorders>
              <w:top w:val="nil"/>
              <w:left w:val="single" w:sz="8" w:space="0" w:color="auto"/>
              <w:bottom w:val="single" w:sz="8" w:space="0" w:color="000000"/>
              <w:right w:val="single" w:sz="8" w:space="0" w:color="auto"/>
            </w:tcBorders>
            <w:vAlign w:val="center"/>
            <w:hideMark/>
          </w:tcPr>
          <w:p w14:paraId="7D11ABE0"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 / Operaciones</w:t>
            </w:r>
          </w:p>
        </w:tc>
        <w:tc>
          <w:tcPr>
            <w:tcW w:w="1780" w:type="dxa"/>
            <w:vMerge w:val="restart"/>
            <w:tcBorders>
              <w:top w:val="nil"/>
              <w:left w:val="single" w:sz="8" w:space="0" w:color="auto"/>
              <w:bottom w:val="single" w:sz="8" w:space="0" w:color="000000"/>
              <w:right w:val="single" w:sz="8" w:space="0" w:color="auto"/>
            </w:tcBorders>
            <w:vAlign w:val="center"/>
            <w:hideMark/>
          </w:tcPr>
          <w:p w14:paraId="29FBA48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Continuidad Operativa / DRP</w:t>
            </w:r>
          </w:p>
        </w:tc>
        <w:tc>
          <w:tcPr>
            <w:tcW w:w="5613" w:type="dxa"/>
            <w:tcBorders>
              <w:top w:val="nil"/>
              <w:left w:val="nil"/>
              <w:bottom w:val="nil"/>
              <w:right w:val="single" w:sz="8" w:space="0" w:color="auto"/>
            </w:tcBorders>
            <w:vAlign w:val="center"/>
            <w:hideMark/>
          </w:tcPr>
          <w:p w14:paraId="35E32469"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deberá contar con mecanismos de alta disponibilidad y recuperación ante desastres (DRP), garantizando la continuidad operativa de los procesos críticos de la institución. El proveedor deberá proponer la arquitectura más adecuada (activo-activo, activo-pasivo u otra equivalente), justificando su capacidad para cumplir los niveles de servicio definidos.</w:t>
            </w:r>
          </w:p>
        </w:tc>
      </w:tr>
      <w:tr w:rsidR="007A425E" w:rsidRPr="007A425E" w14:paraId="3661153D" w14:textId="77777777" w:rsidTr="007A425E">
        <w:trPr>
          <w:trHeight w:val="1668"/>
          <w:jc w:val="center"/>
        </w:trPr>
        <w:tc>
          <w:tcPr>
            <w:tcW w:w="800" w:type="dxa"/>
            <w:vMerge/>
            <w:tcBorders>
              <w:top w:val="nil"/>
              <w:left w:val="single" w:sz="8" w:space="0" w:color="auto"/>
              <w:bottom w:val="single" w:sz="8" w:space="0" w:color="000000"/>
              <w:right w:val="single" w:sz="8" w:space="0" w:color="auto"/>
            </w:tcBorders>
            <w:vAlign w:val="center"/>
            <w:hideMark/>
          </w:tcPr>
          <w:p w14:paraId="0D95B1A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2CC318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2E94B8D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1A8333A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Deberá ser desplegada en el ambiente de contingencia del SRI y contar con mecanismos que permitan la recuperación ante desastres que garanticen continuidad operativa con RTO menor a 4 horas y RPO menor a 30 minutos, definidos por la institución, asegurando recuperación sin pérdida de artefactos, procesos en ejecución o trámites en curso.</w:t>
            </w:r>
          </w:p>
        </w:tc>
      </w:tr>
      <w:tr w:rsidR="007A425E" w:rsidRPr="007A425E" w14:paraId="134D4916" w14:textId="77777777" w:rsidTr="007A425E">
        <w:trPr>
          <w:trHeight w:val="564"/>
          <w:jc w:val="center"/>
        </w:trPr>
        <w:tc>
          <w:tcPr>
            <w:tcW w:w="800" w:type="dxa"/>
            <w:tcBorders>
              <w:top w:val="nil"/>
              <w:left w:val="single" w:sz="8" w:space="0" w:color="auto"/>
              <w:bottom w:val="single" w:sz="8" w:space="0" w:color="auto"/>
              <w:right w:val="single" w:sz="8" w:space="0" w:color="auto"/>
            </w:tcBorders>
            <w:vAlign w:val="center"/>
            <w:hideMark/>
          </w:tcPr>
          <w:p w14:paraId="457885E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72</w:t>
            </w:r>
          </w:p>
        </w:tc>
        <w:tc>
          <w:tcPr>
            <w:tcW w:w="2996" w:type="dxa"/>
            <w:tcBorders>
              <w:top w:val="nil"/>
              <w:left w:val="nil"/>
              <w:bottom w:val="single" w:sz="8" w:space="0" w:color="auto"/>
              <w:right w:val="single" w:sz="8" w:space="0" w:color="auto"/>
            </w:tcBorders>
            <w:vAlign w:val="center"/>
            <w:hideMark/>
          </w:tcPr>
          <w:p w14:paraId="3BB59FF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Seguridad / Operaciones</w:t>
            </w:r>
          </w:p>
        </w:tc>
        <w:tc>
          <w:tcPr>
            <w:tcW w:w="1780" w:type="dxa"/>
            <w:tcBorders>
              <w:top w:val="nil"/>
              <w:left w:val="nil"/>
              <w:bottom w:val="single" w:sz="8" w:space="0" w:color="auto"/>
              <w:right w:val="single" w:sz="8" w:space="0" w:color="auto"/>
            </w:tcBorders>
            <w:vAlign w:val="center"/>
            <w:hideMark/>
          </w:tcPr>
          <w:p w14:paraId="41C7D280"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Propiedad de la información</w:t>
            </w:r>
          </w:p>
        </w:tc>
        <w:tc>
          <w:tcPr>
            <w:tcW w:w="5613" w:type="dxa"/>
            <w:tcBorders>
              <w:top w:val="nil"/>
              <w:left w:val="nil"/>
              <w:bottom w:val="single" w:sz="8" w:space="0" w:color="auto"/>
              <w:right w:val="single" w:sz="8" w:space="0" w:color="auto"/>
            </w:tcBorders>
            <w:vAlign w:val="center"/>
            <w:hideMark/>
          </w:tcPr>
          <w:p w14:paraId="29E362A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Todo dato, documento, regla y configuración realizada en la solución pertenece exclusivamente al SRI.</w:t>
            </w:r>
          </w:p>
        </w:tc>
      </w:tr>
      <w:tr w:rsidR="007A425E" w:rsidRPr="007A425E" w14:paraId="60CB6FEA" w14:textId="77777777" w:rsidTr="007A425E">
        <w:trPr>
          <w:trHeight w:val="828"/>
          <w:jc w:val="center"/>
        </w:trPr>
        <w:tc>
          <w:tcPr>
            <w:tcW w:w="800" w:type="dxa"/>
            <w:vMerge w:val="restart"/>
            <w:tcBorders>
              <w:top w:val="nil"/>
              <w:left w:val="single" w:sz="8" w:space="0" w:color="auto"/>
              <w:bottom w:val="single" w:sz="8" w:space="0" w:color="000000"/>
              <w:right w:val="single" w:sz="8" w:space="0" w:color="auto"/>
            </w:tcBorders>
            <w:noWrap/>
            <w:vAlign w:val="center"/>
            <w:hideMark/>
          </w:tcPr>
          <w:p w14:paraId="16F99A5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73</w:t>
            </w:r>
          </w:p>
        </w:tc>
        <w:tc>
          <w:tcPr>
            <w:tcW w:w="2996" w:type="dxa"/>
            <w:vMerge w:val="restart"/>
            <w:tcBorders>
              <w:top w:val="nil"/>
              <w:left w:val="single" w:sz="8" w:space="0" w:color="auto"/>
              <w:bottom w:val="single" w:sz="8" w:space="0" w:color="000000"/>
              <w:right w:val="single" w:sz="8" w:space="0" w:color="auto"/>
            </w:tcBorders>
            <w:vAlign w:val="center"/>
            <w:hideMark/>
          </w:tcPr>
          <w:p w14:paraId="00A31B82"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w:t>
            </w:r>
          </w:p>
        </w:tc>
        <w:tc>
          <w:tcPr>
            <w:tcW w:w="1780" w:type="dxa"/>
            <w:vMerge w:val="restart"/>
            <w:tcBorders>
              <w:top w:val="nil"/>
              <w:left w:val="single" w:sz="8" w:space="0" w:color="auto"/>
              <w:bottom w:val="single" w:sz="8" w:space="0" w:color="000000"/>
              <w:right w:val="single" w:sz="8" w:space="0" w:color="auto"/>
            </w:tcBorders>
            <w:vAlign w:val="center"/>
            <w:hideMark/>
          </w:tcPr>
          <w:p w14:paraId="0C62EF2B"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Obtención de información</w:t>
            </w:r>
          </w:p>
        </w:tc>
        <w:tc>
          <w:tcPr>
            <w:tcW w:w="5613" w:type="dxa"/>
            <w:tcBorders>
              <w:top w:val="nil"/>
              <w:left w:val="nil"/>
              <w:bottom w:val="nil"/>
              <w:right w:val="single" w:sz="8" w:space="0" w:color="auto"/>
            </w:tcBorders>
            <w:vAlign w:val="center"/>
            <w:hideMark/>
          </w:tcPr>
          <w:p w14:paraId="4A7E0D2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suite deberá permitir la extracción de información de los procesos ejecutados en sus módulos mediante, al menos, uno de los siguientes mecanismos:</w:t>
            </w:r>
          </w:p>
        </w:tc>
      </w:tr>
      <w:tr w:rsidR="007A425E" w:rsidRPr="007A425E" w14:paraId="116071CE"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779144F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B0F933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F8F9CF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03849BFA"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Acceso controlado a la base de datos</w:t>
            </w:r>
          </w:p>
        </w:tc>
      </w:tr>
      <w:tr w:rsidR="007A425E" w:rsidRPr="007A425E" w14:paraId="4275EDB8"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3BFAB73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C53887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4BA7A5C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7990C8D8"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Generación de vistas o consultas parametrizadas</w:t>
            </w:r>
          </w:p>
        </w:tc>
      </w:tr>
      <w:tr w:rsidR="007A425E" w:rsidRPr="007A425E" w14:paraId="26AB1922"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412D915F"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C2EC81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79BE3D3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123F6FA7"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Exportación de archivos en formatos estándar (CSV, XLSX, JSON, etc.)</w:t>
            </w:r>
          </w:p>
        </w:tc>
      </w:tr>
      <w:tr w:rsidR="007A425E" w:rsidRPr="007A425E" w14:paraId="5B6E1D4A" w14:textId="77777777" w:rsidTr="007A425E">
        <w:trPr>
          <w:trHeight w:val="288"/>
          <w:jc w:val="center"/>
        </w:trPr>
        <w:tc>
          <w:tcPr>
            <w:tcW w:w="800" w:type="dxa"/>
            <w:vMerge/>
            <w:tcBorders>
              <w:top w:val="nil"/>
              <w:left w:val="single" w:sz="8" w:space="0" w:color="auto"/>
              <w:bottom w:val="single" w:sz="8" w:space="0" w:color="000000"/>
              <w:right w:val="single" w:sz="8" w:space="0" w:color="auto"/>
            </w:tcBorders>
            <w:vAlign w:val="center"/>
            <w:hideMark/>
          </w:tcPr>
          <w:p w14:paraId="0CF0016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6E735E6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AFA85C4"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57EA87F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Procesos ETL u otros mecanismos equivalentes</w:t>
            </w:r>
          </w:p>
        </w:tc>
      </w:tr>
      <w:tr w:rsidR="007A425E" w:rsidRPr="007A425E" w14:paraId="57556EFE"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2A66799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3852C02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9A1E05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322883CF"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El mecanismo deberá definirse en acuerdo entre proveedor y entidad contratante, sin afectar la operación de la suite y cumpliendo políticas de seguridad institucional.  </w:t>
            </w:r>
          </w:p>
        </w:tc>
      </w:tr>
      <w:tr w:rsidR="007A425E" w:rsidRPr="007A425E" w14:paraId="2969030F" w14:textId="77777777" w:rsidTr="007A425E">
        <w:trPr>
          <w:trHeight w:val="2772"/>
          <w:jc w:val="center"/>
        </w:trPr>
        <w:tc>
          <w:tcPr>
            <w:tcW w:w="800" w:type="dxa"/>
            <w:vMerge/>
            <w:tcBorders>
              <w:top w:val="nil"/>
              <w:left w:val="single" w:sz="8" w:space="0" w:color="auto"/>
              <w:bottom w:val="single" w:sz="8" w:space="0" w:color="000000"/>
              <w:right w:val="single" w:sz="8" w:space="0" w:color="auto"/>
            </w:tcBorders>
            <w:vAlign w:val="center"/>
            <w:hideMark/>
          </w:tcPr>
          <w:p w14:paraId="038FFB7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45AEBB01"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B48E6BC"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16C89E2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Los mecanismos implementados deberán cumplir con las políticas de seguridad, confidencialidad y disponibilidad institucional, y permitir la integración con las herramientas de análisis propias de la entidad. Para la aceptación del requerimiento se verificará que la suite entregue información mediante al menos un mecanismo aprobado, que la extracción no interrumpa ni degrade la operación de los módulos productivos, que los datos extraídos sean compatibles con las herramientas institucionales de análisis, y que se entregue documentación técnica del procedimiento de extracción aprobada en comité técnico.</w:t>
            </w:r>
          </w:p>
        </w:tc>
      </w:tr>
      <w:tr w:rsidR="007A425E" w:rsidRPr="007A425E" w14:paraId="24D4643C" w14:textId="77777777" w:rsidTr="007A425E">
        <w:trPr>
          <w:trHeight w:val="1668"/>
          <w:jc w:val="center"/>
        </w:trPr>
        <w:tc>
          <w:tcPr>
            <w:tcW w:w="800" w:type="dxa"/>
            <w:tcBorders>
              <w:top w:val="nil"/>
              <w:left w:val="single" w:sz="8" w:space="0" w:color="auto"/>
              <w:bottom w:val="single" w:sz="8" w:space="0" w:color="auto"/>
              <w:right w:val="single" w:sz="8" w:space="0" w:color="auto"/>
            </w:tcBorders>
            <w:noWrap/>
            <w:vAlign w:val="center"/>
            <w:hideMark/>
          </w:tcPr>
          <w:p w14:paraId="3CA720B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74</w:t>
            </w:r>
          </w:p>
        </w:tc>
        <w:tc>
          <w:tcPr>
            <w:tcW w:w="2996" w:type="dxa"/>
            <w:tcBorders>
              <w:top w:val="nil"/>
              <w:left w:val="nil"/>
              <w:bottom w:val="single" w:sz="8" w:space="0" w:color="auto"/>
              <w:right w:val="single" w:sz="8" w:space="0" w:color="auto"/>
            </w:tcBorders>
            <w:vAlign w:val="center"/>
            <w:hideMark/>
          </w:tcPr>
          <w:p w14:paraId="729E737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Desarrollo</w:t>
            </w:r>
          </w:p>
        </w:tc>
        <w:tc>
          <w:tcPr>
            <w:tcW w:w="1780" w:type="dxa"/>
            <w:tcBorders>
              <w:top w:val="nil"/>
              <w:left w:val="nil"/>
              <w:bottom w:val="single" w:sz="8" w:space="0" w:color="auto"/>
              <w:right w:val="single" w:sz="8" w:space="0" w:color="auto"/>
            </w:tcBorders>
            <w:vAlign w:val="center"/>
            <w:hideMark/>
          </w:tcPr>
          <w:p w14:paraId="43C00FB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Respaldo y soporte técnico de los Componentes de la suite</w:t>
            </w:r>
          </w:p>
        </w:tc>
        <w:tc>
          <w:tcPr>
            <w:tcW w:w="5613" w:type="dxa"/>
            <w:tcBorders>
              <w:top w:val="nil"/>
              <w:left w:val="nil"/>
              <w:bottom w:val="single" w:sz="8" w:space="0" w:color="auto"/>
              <w:right w:val="single" w:sz="8" w:space="0" w:color="auto"/>
            </w:tcBorders>
            <w:vAlign w:val="center"/>
            <w:hideMark/>
          </w:tcPr>
          <w:p w14:paraId="3A27D2F2"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Los componentes de la suite deben contar con respaldo de marca y soporte técnico empresarial. No se permitirá el uso de software basado exclusivamente en soporte de comunidad. Cualquier componente de código abierto incluido en la solución debe estar respaldado por el adjudicatario o un tercero responsable, quien garantizará las actualizaciones de seguridad, parches y corrección de errores (bugs). </w:t>
            </w:r>
          </w:p>
        </w:tc>
      </w:tr>
      <w:tr w:rsidR="007A425E" w:rsidRPr="007A425E" w14:paraId="310BB7E7" w14:textId="77777777" w:rsidTr="007A425E">
        <w:trPr>
          <w:trHeight w:val="1116"/>
          <w:jc w:val="center"/>
        </w:trPr>
        <w:tc>
          <w:tcPr>
            <w:tcW w:w="800" w:type="dxa"/>
            <w:tcBorders>
              <w:top w:val="nil"/>
              <w:left w:val="single" w:sz="8" w:space="0" w:color="auto"/>
              <w:bottom w:val="single" w:sz="8" w:space="0" w:color="auto"/>
              <w:right w:val="single" w:sz="8" w:space="0" w:color="auto"/>
            </w:tcBorders>
            <w:noWrap/>
            <w:vAlign w:val="center"/>
            <w:hideMark/>
          </w:tcPr>
          <w:p w14:paraId="03160ED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75</w:t>
            </w:r>
          </w:p>
        </w:tc>
        <w:tc>
          <w:tcPr>
            <w:tcW w:w="2996" w:type="dxa"/>
            <w:tcBorders>
              <w:top w:val="nil"/>
              <w:left w:val="nil"/>
              <w:bottom w:val="single" w:sz="8" w:space="0" w:color="auto"/>
              <w:right w:val="single" w:sz="8" w:space="0" w:color="auto"/>
            </w:tcBorders>
            <w:vAlign w:val="center"/>
            <w:hideMark/>
          </w:tcPr>
          <w:p w14:paraId="00450F8D"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Operaciones / Arquitectura</w:t>
            </w:r>
          </w:p>
        </w:tc>
        <w:tc>
          <w:tcPr>
            <w:tcW w:w="1780" w:type="dxa"/>
            <w:tcBorders>
              <w:top w:val="nil"/>
              <w:left w:val="nil"/>
              <w:bottom w:val="single" w:sz="8" w:space="0" w:color="auto"/>
              <w:right w:val="single" w:sz="8" w:space="0" w:color="auto"/>
            </w:tcBorders>
            <w:vAlign w:val="center"/>
            <w:hideMark/>
          </w:tcPr>
          <w:p w14:paraId="747250D7"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BPMS – Monitoreo del Proceso</w:t>
            </w:r>
          </w:p>
        </w:tc>
        <w:tc>
          <w:tcPr>
            <w:tcW w:w="5613" w:type="dxa"/>
            <w:tcBorders>
              <w:top w:val="nil"/>
              <w:left w:val="nil"/>
              <w:bottom w:val="single" w:sz="8" w:space="0" w:color="auto"/>
              <w:right w:val="single" w:sz="8" w:space="0" w:color="auto"/>
            </w:tcBorders>
            <w:vAlign w:val="center"/>
            <w:hideMark/>
          </w:tcPr>
          <w:p w14:paraId="609436EB"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El BPMS deberá exponer métricas de proceso como: SLA, tiempos de ciclo, cuellos de botella, instancias activas, instancias fallidas, mediante </w:t>
            </w:r>
            <w:proofErr w:type="spellStart"/>
            <w:r w:rsidRPr="007A425E">
              <w:rPr>
                <w:rFonts w:ascii="Calibri" w:eastAsia="Times New Roman" w:hAnsi="Calibri" w:cs="Calibri"/>
                <w:color w:val="000000"/>
                <w:sz w:val="20"/>
                <w:szCs w:val="20"/>
                <w:lang w:eastAsia="es-EC"/>
              </w:rPr>
              <w:t>APIs</w:t>
            </w:r>
            <w:proofErr w:type="spellEnd"/>
            <w:r w:rsidRPr="007A425E">
              <w:rPr>
                <w:rFonts w:ascii="Calibri" w:eastAsia="Times New Roman" w:hAnsi="Calibri" w:cs="Calibri"/>
                <w:color w:val="000000"/>
                <w:sz w:val="20"/>
                <w:szCs w:val="20"/>
                <w:lang w:eastAsia="es-EC"/>
              </w:rPr>
              <w:t xml:space="preserve"> o </w:t>
            </w:r>
            <w:proofErr w:type="spellStart"/>
            <w:r w:rsidRPr="007A425E">
              <w:rPr>
                <w:rFonts w:ascii="Calibri" w:eastAsia="Times New Roman" w:hAnsi="Calibri" w:cs="Calibri"/>
                <w:color w:val="000000"/>
                <w:sz w:val="20"/>
                <w:szCs w:val="20"/>
                <w:lang w:eastAsia="es-EC"/>
              </w:rPr>
              <w:t>endpoints</w:t>
            </w:r>
            <w:proofErr w:type="spellEnd"/>
            <w:r w:rsidRPr="007A425E">
              <w:rPr>
                <w:rFonts w:ascii="Calibri" w:eastAsia="Times New Roman" w:hAnsi="Calibri" w:cs="Calibri"/>
                <w:color w:val="000000"/>
                <w:sz w:val="20"/>
                <w:szCs w:val="20"/>
                <w:lang w:eastAsia="es-EC"/>
              </w:rPr>
              <w:t xml:space="preserve"> estándar, de acuerdo con las características incluidas en la metodología de trabajo.  </w:t>
            </w:r>
          </w:p>
        </w:tc>
      </w:tr>
      <w:tr w:rsidR="007A425E" w:rsidRPr="007A425E" w14:paraId="74E32324" w14:textId="77777777" w:rsidTr="007A425E">
        <w:trPr>
          <w:trHeight w:val="840"/>
          <w:jc w:val="center"/>
        </w:trPr>
        <w:tc>
          <w:tcPr>
            <w:tcW w:w="800" w:type="dxa"/>
            <w:tcBorders>
              <w:top w:val="nil"/>
              <w:left w:val="single" w:sz="8" w:space="0" w:color="auto"/>
              <w:bottom w:val="single" w:sz="8" w:space="0" w:color="auto"/>
              <w:right w:val="single" w:sz="8" w:space="0" w:color="auto"/>
            </w:tcBorders>
            <w:noWrap/>
            <w:vAlign w:val="center"/>
            <w:hideMark/>
          </w:tcPr>
          <w:p w14:paraId="299AED4A"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76</w:t>
            </w:r>
          </w:p>
        </w:tc>
        <w:tc>
          <w:tcPr>
            <w:tcW w:w="2996" w:type="dxa"/>
            <w:tcBorders>
              <w:top w:val="nil"/>
              <w:left w:val="nil"/>
              <w:bottom w:val="single" w:sz="8" w:space="0" w:color="auto"/>
              <w:right w:val="single" w:sz="8" w:space="0" w:color="auto"/>
            </w:tcBorders>
            <w:vAlign w:val="center"/>
            <w:hideMark/>
          </w:tcPr>
          <w:p w14:paraId="378DF79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5C602F2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Cumplimiento normativo documental</w:t>
            </w:r>
          </w:p>
        </w:tc>
        <w:tc>
          <w:tcPr>
            <w:tcW w:w="5613" w:type="dxa"/>
            <w:tcBorders>
              <w:top w:val="nil"/>
              <w:left w:val="nil"/>
              <w:bottom w:val="single" w:sz="8" w:space="0" w:color="auto"/>
              <w:right w:val="single" w:sz="8" w:space="0" w:color="auto"/>
            </w:tcBorders>
            <w:vAlign w:val="center"/>
            <w:hideMark/>
          </w:tcPr>
          <w:p w14:paraId="70FEAA9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La solución adquirida deberá cumplir normativa ecuatoriana en gestión documental y archivo, soportando formatos abiertos (ODF, PDF/A) para garantizar independencia tecnológica y validez jurídica. </w:t>
            </w:r>
          </w:p>
        </w:tc>
      </w:tr>
      <w:tr w:rsidR="007A425E" w:rsidRPr="007A425E" w14:paraId="07A0BDB8" w14:textId="77777777" w:rsidTr="007A425E">
        <w:trPr>
          <w:trHeight w:val="1104"/>
          <w:jc w:val="center"/>
        </w:trPr>
        <w:tc>
          <w:tcPr>
            <w:tcW w:w="800" w:type="dxa"/>
            <w:vMerge w:val="restart"/>
            <w:tcBorders>
              <w:top w:val="nil"/>
              <w:left w:val="single" w:sz="8" w:space="0" w:color="auto"/>
              <w:bottom w:val="single" w:sz="8" w:space="0" w:color="000000"/>
              <w:right w:val="single" w:sz="8" w:space="0" w:color="auto"/>
            </w:tcBorders>
            <w:noWrap/>
            <w:vAlign w:val="center"/>
            <w:hideMark/>
          </w:tcPr>
          <w:p w14:paraId="48C8169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77</w:t>
            </w:r>
          </w:p>
        </w:tc>
        <w:tc>
          <w:tcPr>
            <w:tcW w:w="2996" w:type="dxa"/>
            <w:vMerge w:val="restart"/>
            <w:tcBorders>
              <w:top w:val="nil"/>
              <w:left w:val="single" w:sz="8" w:space="0" w:color="auto"/>
              <w:bottom w:val="single" w:sz="8" w:space="0" w:color="000000"/>
              <w:right w:val="single" w:sz="8" w:space="0" w:color="auto"/>
            </w:tcBorders>
            <w:vAlign w:val="center"/>
            <w:hideMark/>
          </w:tcPr>
          <w:p w14:paraId="3F1751B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vMerge w:val="restart"/>
            <w:tcBorders>
              <w:top w:val="nil"/>
              <w:left w:val="single" w:sz="8" w:space="0" w:color="auto"/>
              <w:bottom w:val="single" w:sz="8" w:space="0" w:color="000000"/>
              <w:right w:val="single" w:sz="8" w:space="0" w:color="auto"/>
            </w:tcBorders>
            <w:vAlign w:val="center"/>
            <w:hideMark/>
          </w:tcPr>
          <w:p w14:paraId="7CA7599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Gestión de Logs</w:t>
            </w:r>
          </w:p>
        </w:tc>
        <w:tc>
          <w:tcPr>
            <w:tcW w:w="5613" w:type="dxa"/>
            <w:tcBorders>
              <w:top w:val="nil"/>
              <w:left w:val="nil"/>
              <w:bottom w:val="nil"/>
              <w:right w:val="single" w:sz="8" w:space="0" w:color="auto"/>
            </w:tcBorders>
            <w:vAlign w:val="center"/>
            <w:hideMark/>
          </w:tcPr>
          <w:p w14:paraId="3B24A37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La suite tecnológica deberá implementar mecanismos de gestión de logs que aseguren el registro estructurado, centralizado y consultable de eventos relevantes (accesos, operaciones, errores, tiempos de respuesta, </w:t>
            </w:r>
            <w:proofErr w:type="spellStart"/>
            <w:r w:rsidRPr="007A425E">
              <w:rPr>
                <w:rFonts w:ascii="Calibri" w:eastAsia="Times New Roman" w:hAnsi="Calibri" w:cs="Calibri"/>
                <w:color w:val="000000"/>
                <w:sz w:val="20"/>
                <w:szCs w:val="20"/>
                <w:lang w:eastAsia="es-EC"/>
              </w:rPr>
              <w:t>IPs</w:t>
            </w:r>
            <w:proofErr w:type="spellEnd"/>
            <w:r w:rsidRPr="007A425E">
              <w:rPr>
                <w:rFonts w:ascii="Calibri" w:eastAsia="Times New Roman" w:hAnsi="Calibri" w:cs="Calibri"/>
                <w:color w:val="000000"/>
                <w:sz w:val="20"/>
                <w:szCs w:val="20"/>
                <w:lang w:eastAsia="es-EC"/>
              </w:rPr>
              <w:t>, entre otros). Los logs deberán:</w:t>
            </w:r>
          </w:p>
        </w:tc>
      </w:tr>
      <w:tr w:rsidR="007A425E" w:rsidRPr="007A425E" w14:paraId="3939587B"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3C9ADE0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C43EC56"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74CE7183"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2EE5995D"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 Generarse en formatos estándar y abiertos (ej. JSON, </w:t>
            </w:r>
            <w:proofErr w:type="spellStart"/>
            <w:r w:rsidRPr="007A425E">
              <w:rPr>
                <w:rFonts w:ascii="Calibri" w:eastAsia="Times New Roman" w:hAnsi="Calibri" w:cs="Calibri"/>
                <w:color w:val="000000"/>
                <w:sz w:val="20"/>
                <w:szCs w:val="20"/>
                <w:lang w:eastAsia="es-EC"/>
              </w:rPr>
              <w:t>Syslog</w:t>
            </w:r>
            <w:proofErr w:type="spellEnd"/>
            <w:r w:rsidRPr="007A425E">
              <w:rPr>
                <w:rFonts w:ascii="Calibri" w:eastAsia="Times New Roman" w:hAnsi="Calibri" w:cs="Calibri"/>
                <w:color w:val="000000"/>
                <w:sz w:val="20"/>
                <w:szCs w:val="20"/>
                <w:lang w:eastAsia="es-EC"/>
              </w:rPr>
              <w:t xml:space="preserve">, </w:t>
            </w:r>
            <w:proofErr w:type="spellStart"/>
            <w:r w:rsidRPr="007A425E">
              <w:rPr>
                <w:rFonts w:ascii="Calibri" w:eastAsia="Times New Roman" w:hAnsi="Calibri" w:cs="Calibri"/>
                <w:color w:val="000000"/>
                <w:sz w:val="20"/>
                <w:szCs w:val="20"/>
                <w:lang w:eastAsia="es-EC"/>
              </w:rPr>
              <w:t>Elastic</w:t>
            </w:r>
            <w:proofErr w:type="spellEnd"/>
            <w:r w:rsidRPr="007A425E">
              <w:rPr>
                <w:rFonts w:ascii="Calibri" w:eastAsia="Times New Roman" w:hAnsi="Calibri" w:cs="Calibri"/>
                <w:color w:val="000000"/>
                <w:sz w:val="20"/>
                <w:szCs w:val="20"/>
                <w:lang w:eastAsia="es-EC"/>
              </w:rPr>
              <w:t>-compatible) que permitan su integración con herramientas de monitoreo y visualización.</w:t>
            </w:r>
          </w:p>
        </w:tc>
      </w:tr>
      <w:tr w:rsidR="007A425E" w:rsidRPr="007A425E" w14:paraId="38F4A0CD" w14:textId="77777777" w:rsidTr="007A425E">
        <w:trPr>
          <w:trHeight w:val="828"/>
          <w:jc w:val="center"/>
        </w:trPr>
        <w:tc>
          <w:tcPr>
            <w:tcW w:w="800" w:type="dxa"/>
            <w:vMerge/>
            <w:tcBorders>
              <w:top w:val="nil"/>
              <w:left w:val="single" w:sz="8" w:space="0" w:color="auto"/>
              <w:bottom w:val="single" w:sz="8" w:space="0" w:color="000000"/>
              <w:right w:val="single" w:sz="8" w:space="0" w:color="auto"/>
            </w:tcBorders>
            <w:vAlign w:val="center"/>
            <w:hideMark/>
          </w:tcPr>
          <w:p w14:paraId="68043C6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058E0D78"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5A76419"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71B7F310"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xml:space="preserve">• Integrarse de manera nativa o mediante conectores con las plataformas institucionales de monitoreo y análisis de eventos como </w:t>
            </w:r>
            <w:proofErr w:type="spellStart"/>
            <w:r w:rsidRPr="007A425E">
              <w:rPr>
                <w:rFonts w:ascii="Calibri" w:eastAsia="Times New Roman" w:hAnsi="Calibri" w:cs="Calibri"/>
                <w:color w:val="000000"/>
                <w:sz w:val="20"/>
                <w:szCs w:val="20"/>
                <w:lang w:eastAsia="es-EC"/>
              </w:rPr>
              <w:t>Zabbix</w:t>
            </w:r>
            <w:proofErr w:type="spellEnd"/>
            <w:r w:rsidRPr="007A425E">
              <w:rPr>
                <w:rFonts w:ascii="Calibri" w:eastAsia="Times New Roman" w:hAnsi="Calibri" w:cs="Calibri"/>
                <w:color w:val="000000"/>
                <w:sz w:val="20"/>
                <w:szCs w:val="20"/>
                <w:lang w:eastAsia="es-EC"/>
              </w:rPr>
              <w:t xml:space="preserve"> y </w:t>
            </w:r>
            <w:proofErr w:type="spellStart"/>
            <w:r w:rsidRPr="007A425E">
              <w:rPr>
                <w:rFonts w:ascii="Calibri" w:eastAsia="Times New Roman" w:hAnsi="Calibri" w:cs="Calibri"/>
                <w:color w:val="000000"/>
                <w:sz w:val="20"/>
                <w:szCs w:val="20"/>
                <w:lang w:eastAsia="es-EC"/>
              </w:rPr>
              <w:t>Kibana</w:t>
            </w:r>
            <w:proofErr w:type="spellEnd"/>
            <w:r w:rsidRPr="007A425E">
              <w:rPr>
                <w:rFonts w:ascii="Calibri" w:eastAsia="Times New Roman" w:hAnsi="Calibri" w:cs="Calibri"/>
                <w:color w:val="000000"/>
                <w:sz w:val="20"/>
                <w:szCs w:val="20"/>
                <w:lang w:eastAsia="es-EC"/>
              </w:rPr>
              <w:t>.</w:t>
            </w:r>
          </w:p>
        </w:tc>
      </w:tr>
      <w:tr w:rsidR="007A425E" w:rsidRPr="007A425E" w14:paraId="4A8A77F5"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1BC9B93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24D2ECD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4AD4ABA1"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5BC909D1"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Garantizar trazabilidad completa y capacidad de consulta eficiente para auditoría y análisis de incidentes.</w:t>
            </w:r>
          </w:p>
        </w:tc>
      </w:tr>
      <w:tr w:rsidR="007A425E" w:rsidRPr="007A425E" w14:paraId="19E7617B" w14:textId="77777777" w:rsidTr="007A425E">
        <w:trPr>
          <w:trHeight w:val="552"/>
          <w:jc w:val="center"/>
        </w:trPr>
        <w:tc>
          <w:tcPr>
            <w:tcW w:w="800" w:type="dxa"/>
            <w:vMerge/>
            <w:tcBorders>
              <w:top w:val="nil"/>
              <w:left w:val="single" w:sz="8" w:space="0" w:color="auto"/>
              <w:bottom w:val="single" w:sz="8" w:space="0" w:color="000000"/>
              <w:right w:val="single" w:sz="8" w:space="0" w:color="auto"/>
            </w:tcBorders>
            <w:vAlign w:val="center"/>
            <w:hideMark/>
          </w:tcPr>
          <w:p w14:paraId="3D28D47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626B8044"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5124A2E5"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nil"/>
              <w:right w:val="single" w:sz="8" w:space="0" w:color="auto"/>
            </w:tcBorders>
            <w:vAlign w:val="center"/>
            <w:hideMark/>
          </w:tcPr>
          <w:p w14:paraId="0589FE24"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Incluir mecanismos de retención, rotación y protección de logs, evitando pérdida o manipulación de registros.</w:t>
            </w:r>
          </w:p>
        </w:tc>
      </w:tr>
      <w:tr w:rsidR="007A425E" w:rsidRPr="007A425E" w14:paraId="1C16F7D2" w14:textId="77777777" w:rsidTr="007A425E">
        <w:trPr>
          <w:trHeight w:val="564"/>
          <w:jc w:val="center"/>
        </w:trPr>
        <w:tc>
          <w:tcPr>
            <w:tcW w:w="800" w:type="dxa"/>
            <w:vMerge/>
            <w:tcBorders>
              <w:top w:val="nil"/>
              <w:left w:val="single" w:sz="8" w:space="0" w:color="auto"/>
              <w:bottom w:val="single" w:sz="8" w:space="0" w:color="000000"/>
              <w:right w:val="single" w:sz="8" w:space="0" w:color="auto"/>
            </w:tcBorders>
            <w:vAlign w:val="center"/>
            <w:hideMark/>
          </w:tcPr>
          <w:p w14:paraId="5C935A36"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2996" w:type="dxa"/>
            <w:vMerge/>
            <w:tcBorders>
              <w:top w:val="nil"/>
              <w:left w:val="single" w:sz="8" w:space="0" w:color="auto"/>
              <w:bottom w:val="single" w:sz="8" w:space="0" w:color="000000"/>
              <w:right w:val="single" w:sz="8" w:space="0" w:color="auto"/>
            </w:tcBorders>
            <w:vAlign w:val="center"/>
            <w:hideMark/>
          </w:tcPr>
          <w:p w14:paraId="1BF8C21B"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p>
        </w:tc>
        <w:tc>
          <w:tcPr>
            <w:tcW w:w="1780" w:type="dxa"/>
            <w:vMerge/>
            <w:tcBorders>
              <w:top w:val="nil"/>
              <w:left w:val="single" w:sz="8" w:space="0" w:color="auto"/>
              <w:bottom w:val="single" w:sz="8" w:space="0" w:color="000000"/>
              <w:right w:val="single" w:sz="8" w:space="0" w:color="auto"/>
            </w:tcBorders>
            <w:vAlign w:val="center"/>
            <w:hideMark/>
          </w:tcPr>
          <w:p w14:paraId="313B3C4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p>
        </w:tc>
        <w:tc>
          <w:tcPr>
            <w:tcW w:w="5613" w:type="dxa"/>
            <w:tcBorders>
              <w:top w:val="nil"/>
              <w:left w:val="nil"/>
              <w:bottom w:val="single" w:sz="8" w:space="0" w:color="auto"/>
              <w:right w:val="single" w:sz="8" w:space="0" w:color="auto"/>
            </w:tcBorders>
            <w:vAlign w:val="center"/>
            <w:hideMark/>
          </w:tcPr>
          <w:p w14:paraId="48847205"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 Ser verificables en pruebas de aceptación, demostrando la integración efectiva con las herramientas institucionales.</w:t>
            </w:r>
          </w:p>
        </w:tc>
      </w:tr>
      <w:tr w:rsidR="007A425E" w:rsidRPr="007A425E" w14:paraId="3A6C6C52" w14:textId="77777777" w:rsidTr="007A425E">
        <w:trPr>
          <w:trHeight w:val="2772"/>
          <w:jc w:val="center"/>
        </w:trPr>
        <w:tc>
          <w:tcPr>
            <w:tcW w:w="800" w:type="dxa"/>
            <w:tcBorders>
              <w:top w:val="nil"/>
              <w:left w:val="single" w:sz="8" w:space="0" w:color="auto"/>
              <w:bottom w:val="single" w:sz="8" w:space="0" w:color="auto"/>
              <w:right w:val="single" w:sz="8" w:space="0" w:color="auto"/>
            </w:tcBorders>
            <w:noWrap/>
            <w:vAlign w:val="center"/>
            <w:hideMark/>
          </w:tcPr>
          <w:p w14:paraId="382DEA23"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78</w:t>
            </w:r>
          </w:p>
        </w:tc>
        <w:tc>
          <w:tcPr>
            <w:tcW w:w="2996" w:type="dxa"/>
            <w:tcBorders>
              <w:top w:val="nil"/>
              <w:left w:val="nil"/>
              <w:bottom w:val="single" w:sz="8" w:space="0" w:color="auto"/>
              <w:right w:val="single" w:sz="8" w:space="0" w:color="auto"/>
            </w:tcBorders>
            <w:vAlign w:val="center"/>
            <w:hideMark/>
          </w:tcPr>
          <w:p w14:paraId="547C190E"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General</w:t>
            </w:r>
          </w:p>
        </w:tc>
        <w:tc>
          <w:tcPr>
            <w:tcW w:w="1780" w:type="dxa"/>
            <w:tcBorders>
              <w:top w:val="nil"/>
              <w:left w:val="nil"/>
              <w:bottom w:val="single" w:sz="8" w:space="0" w:color="auto"/>
              <w:right w:val="single" w:sz="8" w:space="0" w:color="auto"/>
            </w:tcBorders>
            <w:vAlign w:val="center"/>
            <w:hideMark/>
          </w:tcPr>
          <w:p w14:paraId="37DA0DD8"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Garantía Técnica</w:t>
            </w:r>
          </w:p>
        </w:tc>
        <w:tc>
          <w:tcPr>
            <w:tcW w:w="5613" w:type="dxa"/>
            <w:tcBorders>
              <w:top w:val="nil"/>
              <w:left w:val="nil"/>
              <w:bottom w:val="single" w:sz="8" w:space="0" w:color="auto"/>
              <w:right w:val="single" w:sz="8" w:space="0" w:color="auto"/>
            </w:tcBorders>
            <w:vAlign w:val="center"/>
            <w:hideMark/>
          </w:tcPr>
          <w:p w14:paraId="4351F68E"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adjudicatario deberá proveer garantía técnica integral de la suite tecnológica por un período igual a la vigencia contractual, aplicable desde la aceptación de cada entregable parcial y desde la aceptación final de la implementación. La garantía cubrirá defectos de implementación, errores de configuración, vulnerabilidades de seguridad y cualquier incumplimiento de desempeño respecto de los requerimientos establecidos. Esta garantía es independiente de los servicios de soporte y mantenimiento descritos en el numeral 8, y constituye una obligación mínima del adjudicatario para asegurar la calidad y confiabilidad de la solución entregada.</w:t>
            </w:r>
          </w:p>
        </w:tc>
      </w:tr>
      <w:tr w:rsidR="007A425E" w:rsidRPr="007A425E" w14:paraId="2928278E" w14:textId="77777777" w:rsidTr="007A425E">
        <w:trPr>
          <w:trHeight w:val="840"/>
          <w:jc w:val="center"/>
        </w:trPr>
        <w:tc>
          <w:tcPr>
            <w:tcW w:w="800" w:type="dxa"/>
            <w:tcBorders>
              <w:top w:val="nil"/>
              <w:left w:val="single" w:sz="8" w:space="0" w:color="auto"/>
              <w:bottom w:val="single" w:sz="8" w:space="0" w:color="auto"/>
              <w:right w:val="single" w:sz="8" w:space="0" w:color="auto"/>
            </w:tcBorders>
            <w:noWrap/>
            <w:vAlign w:val="center"/>
            <w:hideMark/>
          </w:tcPr>
          <w:p w14:paraId="6C844B3F"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79</w:t>
            </w:r>
          </w:p>
        </w:tc>
        <w:tc>
          <w:tcPr>
            <w:tcW w:w="2996" w:type="dxa"/>
            <w:tcBorders>
              <w:top w:val="nil"/>
              <w:left w:val="nil"/>
              <w:bottom w:val="single" w:sz="8" w:space="0" w:color="auto"/>
              <w:right w:val="single" w:sz="8" w:space="0" w:color="auto"/>
            </w:tcBorders>
            <w:vAlign w:val="center"/>
            <w:hideMark/>
          </w:tcPr>
          <w:p w14:paraId="2A479857" w14:textId="77777777" w:rsidR="007A425E" w:rsidRPr="007A425E" w:rsidRDefault="007A425E" w:rsidP="007A425E">
            <w:pPr>
              <w:spacing w:after="0" w:line="240" w:lineRule="auto"/>
              <w:jc w:val="center"/>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Arquitectura</w:t>
            </w:r>
          </w:p>
        </w:tc>
        <w:tc>
          <w:tcPr>
            <w:tcW w:w="1780" w:type="dxa"/>
            <w:tcBorders>
              <w:top w:val="nil"/>
              <w:left w:val="nil"/>
              <w:bottom w:val="single" w:sz="8" w:space="0" w:color="auto"/>
              <w:right w:val="single" w:sz="8" w:space="0" w:color="auto"/>
            </w:tcBorders>
            <w:vAlign w:val="center"/>
            <w:hideMark/>
          </w:tcPr>
          <w:p w14:paraId="17ABFD2D" w14:textId="77777777" w:rsidR="007A425E" w:rsidRPr="007A425E" w:rsidRDefault="007A425E" w:rsidP="007A425E">
            <w:pPr>
              <w:spacing w:after="0" w:line="240" w:lineRule="auto"/>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BRMS</w:t>
            </w:r>
          </w:p>
        </w:tc>
        <w:tc>
          <w:tcPr>
            <w:tcW w:w="5613" w:type="dxa"/>
            <w:tcBorders>
              <w:top w:val="nil"/>
              <w:left w:val="nil"/>
              <w:bottom w:val="single" w:sz="8" w:space="0" w:color="auto"/>
              <w:right w:val="single" w:sz="8" w:space="0" w:color="auto"/>
            </w:tcBorders>
            <w:vAlign w:val="center"/>
            <w:hideMark/>
          </w:tcPr>
          <w:p w14:paraId="3C1C6A56" w14:textId="77777777" w:rsidR="007A425E" w:rsidRPr="007A425E" w:rsidRDefault="007A425E" w:rsidP="007A425E">
            <w:pPr>
              <w:spacing w:after="0" w:line="240" w:lineRule="auto"/>
              <w:jc w:val="both"/>
              <w:rPr>
                <w:rFonts w:ascii="Calibri" w:eastAsia="Times New Roman" w:hAnsi="Calibri" w:cs="Calibri"/>
                <w:color w:val="000000"/>
                <w:sz w:val="20"/>
                <w:szCs w:val="20"/>
                <w:lang w:eastAsia="es-EC"/>
              </w:rPr>
            </w:pPr>
            <w:r w:rsidRPr="007A425E">
              <w:rPr>
                <w:rFonts w:ascii="Calibri" w:eastAsia="Times New Roman" w:hAnsi="Calibri" w:cs="Calibri"/>
                <w:color w:val="000000"/>
                <w:sz w:val="20"/>
                <w:szCs w:val="20"/>
                <w:lang w:eastAsia="es-EC"/>
              </w:rPr>
              <w:t>El BRMS debe poder agregar nuevas fuentes de información, datos y/o atributos para que se encuentren disponibles para la construcción de reglas de negocio</w:t>
            </w:r>
          </w:p>
        </w:tc>
      </w:tr>
    </w:tbl>
    <w:p w14:paraId="67CB0435" w14:textId="77777777" w:rsidR="007A425E" w:rsidRDefault="007A425E" w:rsidP="007A425E">
      <w:pPr>
        <w:ind w:left="720"/>
        <w:jc w:val="both"/>
        <w:rPr>
          <w:rFonts w:cstheme="minorHAnsi"/>
          <w:sz w:val="20"/>
          <w:szCs w:val="20"/>
        </w:rPr>
      </w:pPr>
    </w:p>
    <w:p w14:paraId="02FF531A"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58" w:name="_Toc216114233"/>
      <w:bookmarkStart w:id="59" w:name="_Toc217326211"/>
      <w:r w:rsidRPr="00160081">
        <w:rPr>
          <w:rFonts w:asciiTheme="minorHAnsi" w:eastAsia="Times New Roman" w:hAnsiTheme="minorHAnsi" w:cstheme="minorHAnsi"/>
          <w:b/>
          <w:bCs/>
          <w:color w:val="000000" w:themeColor="text1"/>
          <w:sz w:val="20"/>
          <w:szCs w:val="20"/>
        </w:rPr>
        <w:t xml:space="preserve">6.4 </w:t>
      </w:r>
      <w:bookmarkEnd w:id="58"/>
      <w:r w:rsidRPr="00160081">
        <w:rPr>
          <w:rFonts w:asciiTheme="minorHAnsi" w:eastAsia="Times New Roman" w:hAnsiTheme="minorHAnsi" w:cstheme="minorHAnsi"/>
          <w:b/>
          <w:bCs/>
          <w:color w:val="000000" w:themeColor="text1"/>
          <w:sz w:val="20"/>
          <w:szCs w:val="20"/>
        </w:rPr>
        <w:t>Implementaciones requeridas en Proyectos</w:t>
      </w:r>
      <w:bookmarkEnd w:id="59"/>
    </w:p>
    <w:p w14:paraId="1823BAC1" w14:textId="77777777" w:rsidR="00160081" w:rsidRPr="00160081" w:rsidRDefault="00160081" w:rsidP="00160081">
      <w:pPr>
        <w:ind w:left="720"/>
        <w:rPr>
          <w:rFonts w:cstheme="minorHAnsi"/>
          <w:sz w:val="20"/>
          <w:szCs w:val="20"/>
        </w:rPr>
      </w:pPr>
    </w:p>
    <w:p w14:paraId="2DC03B55"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60" w:name="_Toc217326212"/>
      <w:r w:rsidRPr="00160081">
        <w:rPr>
          <w:rFonts w:asciiTheme="minorHAnsi" w:eastAsia="Times New Roman" w:hAnsiTheme="minorHAnsi" w:cstheme="minorHAnsi"/>
          <w:b/>
          <w:bCs/>
          <w:color w:val="000000" w:themeColor="text1"/>
          <w:sz w:val="20"/>
          <w:szCs w:val="20"/>
        </w:rPr>
        <w:t>6.4.1. Implementaciones de casos de uso</w:t>
      </w:r>
      <w:bookmarkEnd w:id="60"/>
    </w:p>
    <w:p w14:paraId="42B105B8" w14:textId="77777777" w:rsidR="00160081" w:rsidRPr="00160081" w:rsidRDefault="00160081" w:rsidP="00160081">
      <w:pPr>
        <w:ind w:left="720"/>
        <w:jc w:val="both"/>
        <w:rPr>
          <w:rFonts w:cstheme="minorHAnsi"/>
          <w:sz w:val="20"/>
          <w:szCs w:val="20"/>
        </w:rPr>
      </w:pPr>
    </w:p>
    <w:p w14:paraId="1C353585" w14:textId="65E8285E" w:rsidR="00160081" w:rsidRPr="00160081" w:rsidRDefault="00160081" w:rsidP="00160081">
      <w:pPr>
        <w:ind w:left="720"/>
        <w:jc w:val="both"/>
        <w:rPr>
          <w:rFonts w:cstheme="minorHAnsi"/>
          <w:sz w:val="20"/>
          <w:szCs w:val="20"/>
        </w:rPr>
      </w:pPr>
      <w:r w:rsidRPr="00160081">
        <w:rPr>
          <w:rFonts w:cstheme="minorHAnsi"/>
          <w:sz w:val="20"/>
          <w:szCs w:val="20"/>
        </w:rPr>
        <w:t>La suite tecnológica integral deberá implementar, inicialmente un conjunto de casos de uso institucionales, los mismos que integran unidades funcionales, procesos, reglas, documentos y datos necesarios para resolver una necesidad específica del SRI.</w:t>
      </w:r>
    </w:p>
    <w:p w14:paraId="46C21832" w14:textId="77777777" w:rsidR="00160081" w:rsidRPr="00160081" w:rsidRDefault="00160081" w:rsidP="00160081">
      <w:pPr>
        <w:ind w:left="720"/>
        <w:jc w:val="both"/>
        <w:rPr>
          <w:rFonts w:cstheme="minorHAnsi"/>
          <w:sz w:val="20"/>
          <w:szCs w:val="20"/>
        </w:rPr>
      </w:pPr>
      <w:r w:rsidRPr="00160081">
        <w:rPr>
          <w:rFonts w:cstheme="minorHAnsi"/>
          <w:sz w:val="20"/>
          <w:szCs w:val="20"/>
        </w:rPr>
        <w:t>En el siguiente gráfico se muestra la integración de los casos de uso, partiendo por los del motor de reglas de negocio para entregar las mismas a los sistemas y aplicativos internos de habilitación de las obligaciones tributarias, a su vez los documentos generados hacia el gestor documental.</w:t>
      </w:r>
    </w:p>
    <w:p w14:paraId="36816059"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El sistema de gestión de riesgos tributarios consumirá información resultante de aplicativos y sistemas internos como el Data </w:t>
      </w:r>
      <w:proofErr w:type="spellStart"/>
      <w:r w:rsidRPr="00160081">
        <w:rPr>
          <w:rFonts w:cstheme="minorHAnsi"/>
          <w:sz w:val="20"/>
          <w:szCs w:val="20"/>
        </w:rPr>
        <w:t>Fabric</w:t>
      </w:r>
      <w:proofErr w:type="spellEnd"/>
      <w:r w:rsidRPr="00160081">
        <w:rPr>
          <w:rFonts w:cstheme="minorHAnsi"/>
          <w:sz w:val="20"/>
          <w:szCs w:val="20"/>
        </w:rPr>
        <w:t xml:space="preserve"> para procesar y analizar en las diferentes etapas de: identificación, priorización y programación de riesgos tributarios y entregar un inventario de casos (estrategias de tratamiento) a los casos de uso de los procesos automatizados (Control de Veracidad y Gestión de Sanciones) según corresponda, una vez que los procesos finalicen su ejecución remitirán los resultados de los mismos a la etapa de evaluación de riesgos tributarios, y a su vez toda la documentación generada </w:t>
      </w:r>
      <w:bookmarkStart w:id="61" w:name="OLE_LINK27"/>
      <w:r w:rsidRPr="00160081">
        <w:rPr>
          <w:rFonts w:cstheme="minorHAnsi"/>
          <w:sz w:val="20"/>
          <w:szCs w:val="20"/>
        </w:rPr>
        <w:t>será cargada en el repositorio del gestor documental.</w:t>
      </w:r>
      <w:bookmarkEnd w:id="61"/>
    </w:p>
    <w:p w14:paraId="47396D80" w14:textId="77777777" w:rsidR="00160081" w:rsidRPr="00160081" w:rsidRDefault="00160081" w:rsidP="00160081">
      <w:pPr>
        <w:ind w:left="720"/>
        <w:jc w:val="both"/>
        <w:rPr>
          <w:rFonts w:cstheme="minorHAnsi"/>
          <w:sz w:val="20"/>
          <w:szCs w:val="20"/>
        </w:rPr>
      </w:pPr>
      <w:r w:rsidRPr="00160081">
        <w:rPr>
          <w:rFonts w:cstheme="minorHAnsi"/>
          <w:sz w:val="20"/>
          <w:szCs w:val="20"/>
        </w:rPr>
        <w:t>El caso de uso de uso de gestión de trámites inicia con el ingreso de la petición del trámite por los canales establecidos para el contribuyente y usuarios internos del SRI, los cuales pasan por las diferentes fases como son: Direccionamiento a través de un número único de trámite, asignación a la unidad ejecutora conforme sus competencias, ejecución y cierre del trámite. Los documentos generados del trámite ingresado serán cargados en el repositorio del gestor documental.</w:t>
      </w:r>
    </w:p>
    <w:p w14:paraId="5ADB5F85" w14:textId="77777777" w:rsidR="00160081" w:rsidRPr="00160081" w:rsidRDefault="00160081" w:rsidP="00160081">
      <w:pPr>
        <w:ind w:left="720"/>
        <w:jc w:val="both"/>
        <w:rPr>
          <w:rFonts w:cstheme="minorHAnsi"/>
          <w:sz w:val="20"/>
          <w:szCs w:val="20"/>
        </w:rPr>
      </w:pPr>
      <w:r w:rsidRPr="00160081">
        <w:rPr>
          <w:rFonts w:cstheme="minorHAnsi"/>
          <w:sz w:val="20"/>
          <w:szCs w:val="20"/>
        </w:rPr>
        <w:t>El expediente integral por contribuyente se alimenta con información de otros sistemas de la institución y la información de trámites y documentos para consulta y descarga por parte de las unidades que lo requieran.</w:t>
      </w:r>
    </w:p>
    <w:p w14:paraId="0011DA6A" w14:textId="77777777" w:rsidR="00160081" w:rsidRPr="00160081" w:rsidRDefault="00160081" w:rsidP="00160081">
      <w:pPr>
        <w:ind w:left="720"/>
        <w:jc w:val="both"/>
        <w:rPr>
          <w:rFonts w:cstheme="minorHAnsi"/>
          <w:kern w:val="36"/>
          <w:sz w:val="20"/>
          <w:szCs w:val="20"/>
        </w:rPr>
      </w:pPr>
      <w:r w:rsidRPr="00160081">
        <w:rPr>
          <w:rFonts w:cstheme="minorHAnsi"/>
          <w:kern w:val="36"/>
          <w:sz w:val="20"/>
          <w:szCs w:val="20"/>
        </w:rPr>
        <w:t>A continuación, se despliega el esquema de la secuencia de los casos de uso a implementar en la suite tecnológica integral requeridos:</w:t>
      </w:r>
    </w:p>
    <w:p w14:paraId="47F4B746" w14:textId="77777777" w:rsidR="00160081" w:rsidRPr="00160081" w:rsidRDefault="00160081" w:rsidP="00160081">
      <w:pPr>
        <w:ind w:left="720"/>
        <w:jc w:val="both"/>
        <w:rPr>
          <w:rFonts w:cstheme="minorHAnsi"/>
          <w:kern w:val="36"/>
          <w:sz w:val="20"/>
          <w:szCs w:val="20"/>
        </w:rPr>
      </w:pPr>
    </w:p>
    <w:p w14:paraId="1227DD10" w14:textId="77777777" w:rsidR="00160081" w:rsidRPr="00160081" w:rsidRDefault="00160081" w:rsidP="007A425E">
      <w:pPr>
        <w:ind w:left="-567"/>
        <w:jc w:val="both"/>
        <w:rPr>
          <w:rFonts w:cstheme="minorHAnsi"/>
          <w:kern w:val="36"/>
          <w:sz w:val="20"/>
          <w:szCs w:val="20"/>
        </w:rPr>
      </w:pPr>
      <w:r w:rsidRPr="00160081">
        <w:rPr>
          <w:rFonts w:cstheme="minorHAnsi"/>
          <w:noProof/>
          <w:sz w:val="20"/>
          <w:szCs w:val="20"/>
        </w:rPr>
        <w:drawing>
          <wp:inline distT="0" distB="0" distL="0" distR="0" wp14:anchorId="5487F7B7" wp14:editId="7F36FD0C">
            <wp:extent cx="5943600" cy="3023235"/>
            <wp:effectExtent l="0" t="0" r="0" b="5715"/>
            <wp:docPr id="84157162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023235"/>
                    </a:xfrm>
                    <a:prstGeom prst="rect">
                      <a:avLst/>
                    </a:prstGeom>
                    <a:noFill/>
                    <a:ln>
                      <a:noFill/>
                    </a:ln>
                  </pic:spPr>
                </pic:pic>
              </a:graphicData>
            </a:graphic>
          </wp:inline>
        </w:drawing>
      </w:r>
    </w:p>
    <w:p w14:paraId="282AC326" w14:textId="77777777" w:rsidR="007A425E" w:rsidRDefault="007A425E" w:rsidP="00160081">
      <w:pPr>
        <w:ind w:left="720"/>
        <w:jc w:val="both"/>
        <w:rPr>
          <w:rFonts w:cstheme="minorHAnsi"/>
          <w:sz w:val="20"/>
          <w:szCs w:val="20"/>
        </w:rPr>
      </w:pPr>
    </w:p>
    <w:p w14:paraId="1915A440" w14:textId="39EF30AA" w:rsidR="00160081" w:rsidRPr="00160081" w:rsidRDefault="00160081" w:rsidP="00160081">
      <w:pPr>
        <w:ind w:left="720"/>
        <w:jc w:val="both"/>
        <w:rPr>
          <w:rFonts w:cstheme="minorHAnsi"/>
          <w:sz w:val="20"/>
          <w:szCs w:val="20"/>
        </w:rPr>
      </w:pPr>
      <w:r w:rsidRPr="00160081">
        <w:rPr>
          <w:rFonts w:cstheme="minorHAnsi"/>
          <w:sz w:val="20"/>
          <w:szCs w:val="20"/>
        </w:rPr>
        <w:t xml:space="preserve"> A continuación, se presenta los detalles de los casos de uso a implementar:</w:t>
      </w:r>
      <w:bookmarkStart w:id="62" w:name="_Hlk187849847"/>
    </w:p>
    <w:p w14:paraId="6E4AE611" w14:textId="77777777" w:rsidR="00160081" w:rsidRPr="00160081" w:rsidRDefault="00160081" w:rsidP="00160081">
      <w:pPr>
        <w:ind w:left="720"/>
        <w:jc w:val="both"/>
        <w:rPr>
          <w:rFonts w:cstheme="minorHAnsi"/>
          <w:sz w:val="20"/>
          <w:szCs w:val="20"/>
        </w:rPr>
      </w:pPr>
    </w:p>
    <w:tbl>
      <w:tblPr>
        <w:tblW w:w="9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0"/>
        <w:gridCol w:w="7200"/>
      </w:tblGrid>
      <w:tr w:rsidR="00160081" w:rsidRPr="00160081" w14:paraId="0A29991C" w14:textId="77777777" w:rsidTr="00BD3D91">
        <w:trPr>
          <w:trHeight w:val="359"/>
        </w:trPr>
        <w:tc>
          <w:tcPr>
            <w:tcW w:w="2260" w:type="dxa"/>
            <w:shd w:val="clear" w:color="000000" w:fill="D9D9D9"/>
            <w:vAlign w:val="center"/>
            <w:hideMark/>
          </w:tcPr>
          <w:p w14:paraId="4A690A9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200" w:type="dxa"/>
            <w:shd w:val="clear" w:color="000000" w:fill="FFFFFF"/>
            <w:vAlign w:val="center"/>
            <w:hideMark/>
          </w:tcPr>
          <w:p w14:paraId="3AC7483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CU-01</w:t>
            </w:r>
          </w:p>
        </w:tc>
      </w:tr>
      <w:tr w:rsidR="00160081" w:rsidRPr="00160081" w14:paraId="52AD778C" w14:textId="77777777" w:rsidTr="00BD3D91">
        <w:trPr>
          <w:trHeight w:val="421"/>
        </w:trPr>
        <w:tc>
          <w:tcPr>
            <w:tcW w:w="2260" w:type="dxa"/>
            <w:shd w:val="clear" w:color="000000" w:fill="D9D9D9"/>
            <w:vAlign w:val="center"/>
            <w:hideMark/>
          </w:tcPr>
          <w:p w14:paraId="78E36CB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200" w:type="dxa"/>
            <w:vAlign w:val="center"/>
            <w:hideMark/>
          </w:tcPr>
          <w:p w14:paraId="47CE5C08" w14:textId="77777777" w:rsidR="00160081" w:rsidRPr="00160081" w:rsidRDefault="00160081" w:rsidP="00BD3D91">
            <w:pPr>
              <w:jc w:val="center"/>
              <w:rPr>
                <w:rFonts w:cstheme="minorHAnsi"/>
                <w:color w:val="000000"/>
                <w:sz w:val="20"/>
                <w:szCs w:val="20"/>
              </w:rPr>
            </w:pPr>
            <w:bookmarkStart w:id="63" w:name="OLE_LINK88"/>
            <w:bookmarkStart w:id="64" w:name="OLE_LINK83"/>
            <w:r w:rsidRPr="00160081">
              <w:rPr>
                <w:rFonts w:cstheme="minorHAnsi"/>
                <w:color w:val="000000"/>
                <w:sz w:val="20"/>
                <w:szCs w:val="20"/>
              </w:rPr>
              <w:t>Reglas de Negocio</w:t>
            </w:r>
            <w:bookmarkEnd w:id="63"/>
            <w:r w:rsidRPr="00160081">
              <w:rPr>
                <w:rFonts w:cstheme="minorHAnsi"/>
                <w:color w:val="000000"/>
                <w:sz w:val="20"/>
                <w:szCs w:val="20"/>
              </w:rPr>
              <w:t xml:space="preserve"> </w:t>
            </w:r>
            <w:bookmarkEnd w:id="64"/>
            <w:r w:rsidRPr="00160081">
              <w:rPr>
                <w:rFonts w:cstheme="minorHAnsi"/>
                <w:color w:val="000000"/>
                <w:sz w:val="20"/>
                <w:szCs w:val="20"/>
              </w:rPr>
              <w:t>- Impuesto a la Renta (IR)</w:t>
            </w:r>
          </w:p>
        </w:tc>
      </w:tr>
      <w:tr w:rsidR="00160081" w:rsidRPr="00160081" w14:paraId="3E8DCC16" w14:textId="77777777" w:rsidTr="00BD3D91">
        <w:trPr>
          <w:trHeight w:val="572"/>
        </w:trPr>
        <w:tc>
          <w:tcPr>
            <w:tcW w:w="2260" w:type="dxa"/>
            <w:shd w:val="clear" w:color="000000" w:fill="D9D9D9"/>
            <w:vAlign w:val="center"/>
            <w:hideMark/>
          </w:tcPr>
          <w:p w14:paraId="63D00B2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200" w:type="dxa"/>
            <w:vAlign w:val="center"/>
            <w:hideMark/>
          </w:tcPr>
          <w:p w14:paraId="3F47BF9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Construir las reglas de negocio de asignación, presentación y pago de las obligaciones tributarias, considerando las fuentes de información (internas y externas).</w:t>
            </w:r>
          </w:p>
        </w:tc>
      </w:tr>
      <w:tr w:rsidR="00160081" w:rsidRPr="00160081" w14:paraId="6ECE006D" w14:textId="77777777" w:rsidTr="00BD3D91">
        <w:trPr>
          <w:trHeight w:val="1890"/>
        </w:trPr>
        <w:tc>
          <w:tcPr>
            <w:tcW w:w="2260" w:type="dxa"/>
            <w:shd w:val="clear" w:color="000000" w:fill="D9D9D9"/>
            <w:vAlign w:val="center"/>
            <w:hideMark/>
          </w:tcPr>
          <w:p w14:paraId="60DB45B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200" w:type="dxa"/>
            <w:vAlign w:val="center"/>
            <w:hideMark/>
          </w:tcPr>
          <w:p w14:paraId="570ED35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Inicia con el entendimiento de la obligación tributaria en base a la normativa tributaria (actual o reformas propuestas), y la disponibilidad de fuentes internas de información (catálogos, bases de datos, sistemas y aplicativos) para la construcción de reglas de negocio de asignación, presentación y pago de las obligaciones tributarias y su posterior integración con los diferentes sistemas y aplicativos institucionales</w:t>
            </w:r>
          </w:p>
        </w:tc>
      </w:tr>
      <w:tr w:rsidR="00160081" w:rsidRPr="00160081" w14:paraId="153BEA69" w14:textId="77777777" w:rsidTr="00BD3D91">
        <w:trPr>
          <w:trHeight w:val="945"/>
        </w:trPr>
        <w:tc>
          <w:tcPr>
            <w:tcW w:w="2260" w:type="dxa"/>
            <w:shd w:val="clear" w:color="000000" w:fill="D9D9D9"/>
            <w:vAlign w:val="center"/>
            <w:hideMark/>
          </w:tcPr>
          <w:p w14:paraId="6FF3374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200" w:type="dxa"/>
            <w:vAlign w:val="center"/>
            <w:hideMark/>
          </w:tcPr>
          <w:p w14:paraId="609D7FC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Ficha de entendimiento de la obligación tributaria, </w:t>
            </w:r>
            <w:r w:rsidRPr="00160081">
              <w:rPr>
                <w:rFonts w:cstheme="minorHAnsi"/>
                <w:color w:val="000000"/>
                <w:sz w:val="20"/>
                <w:szCs w:val="20"/>
              </w:rPr>
              <w:br/>
              <w:t>Catálogos y catastros</w:t>
            </w:r>
            <w:r w:rsidRPr="00160081">
              <w:rPr>
                <w:rFonts w:cstheme="minorHAnsi"/>
                <w:color w:val="000000"/>
                <w:sz w:val="20"/>
                <w:szCs w:val="20"/>
              </w:rPr>
              <w:br/>
              <w:t>Bases de datos internas y externas</w:t>
            </w:r>
          </w:p>
        </w:tc>
      </w:tr>
      <w:tr w:rsidR="00160081" w:rsidRPr="00160081" w14:paraId="7BB2E111" w14:textId="77777777" w:rsidTr="00BD3D91">
        <w:trPr>
          <w:trHeight w:val="316"/>
        </w:trPr>
        <w:tc>
          <w:tcPr>
            <w:tcW w:w="2260" w:type="dxa"/>
            <w:shd w:val="clear" w:color="000000" w:fill="D9D9D9"/>
            <w:vAlign w:val="center"/>
            <w:hideMark/>
          </w:tcPr>
          <w:p w14:paraId="369C6DF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200" w:type="dxa"/>
            <w:vAlign w:val="center"/>
            <w:hideMark/>
          </w:tcPr>
          <w:p w14:paraId="2A32D8C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Configuraciones de reglas de negocio para el consumo de los aplicativos internos</w:t>
            </w:r>
          </w:p>
        </w:tc>
      </w:tr>
      <w:tr w:rsidR="00160081" w:rsidRPr="00160081" w14:paraId="0D23FAAA" w14:textId="77777777" w:rsidTr="00BD3D91">
        <w:trPr>
          <w:trHeight w:val="82"/>
        </w:trPr>
        <w:tc>
          <w:tcPr>
            <w:tcW w:w="2260" w:type="dxa"/>
            <w:shd w:val="clear" w:color="000000" w:fill="D9D9D9"/>
            <w:vAlign w:val="center"/>
            <w:hideMark/>
          </w:tcPr>
          <w:p w14:paraId="187151C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200" w:type="dxa"/>
            <w:vAlign w:val="center"/>
            <w:hideMark/>
          </w:tcPr>
          <w:p w14:paraId="4E5AD18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Jefatura departamental, Coordinador,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del Impuesto, usuario administrador</w:t>
            </w:r>
          </w:p>
        </w:tc>
      </w:tr>
      <w:tr w:rsidR="00160081" w:rsidRPr="00160081" w14:paraId="646C3CB2" w14:textId="77777777" w:rsidTr="00BD3D91">
        <w:trPr>
          <w:trHeight w:val="6263"/>
        </w:trPr>
        <w:tc>
          <w:tcPr>
            <w:tcW w:w="2260" w:type="dxa"/>
            <w:shd w:val="clear" w:color="000000" w:fill="D9D9D9"/>
            <w:vAlign w:val="center"/>
            <w:hideMark/>
          </w:tcPr>
          <w:p w14:paraId="3853F31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200" w:type="dxa"/>
            <w:vAlign w:val="center"/>
            <w:hideMark/>
          </w:tcPr>
          <w:p w14:paraId="07A1C76C" w14:textId="77777777" w:rsidR="00160081" w:rsidRPr="00160081" w:rsidRDefault="00160081" w:rsidP="00BD3D91">
            <w:pPr>
              <w:rPr>
                <w:rFonts w:cstheme="minorHAnsi"/>
                <w:color w:val="000000"/>
                <w:sz w:val="20"/>
                <w:szCs w:val="20"/>
              </w:rPr>
            </w:pPr>
            <w:r w:rsidRPr="00160081">
              <w:rPr>
                <w:rFonts w:cstheme="minorHAnsi"/>
                <w:noProof/>
                <w:color w:val="000000"/>
                <w:sz w:val="20"/>
                <w:szCs w:val="20"/>
              </w:rPr>
              <w:drawing>
                <wp:anchor distT="0" distB="0" distL="114300" distR="114300" simplePos="0" relativeHeight="251659264" behindDoc="0" locked="0" layoutInCell="1" allowOverlap="1" wp14:anchorId="7B969FD4" wp14:editId="5C7E8C90">
                  <wp:simplePos x="0" y="0"/>
                  <wp:positionH relativeFrom="column">
                    <wp:posOffset>304800</wp:posOffset>
                  </wp:positionH>
                  <wp:positionV relativeFrom="paragraph">
                    <wp:posOffset>200025</wp:posOffset>
                  </wp:positionV>
                  <wp:extent cx="4086225" cy="3629025"/>
                  <wp:effectExtent l="0" t="0" r="9525" b="0"/>
                  <wp:wrapNone/>
                  <wp:docPr id="3" name="Imagen 1" descr="Diagrama&#10;&#10;El contenido generado por IA puede ser incorrecto.">
                    <a:extLst xmlns:a="http://schemas.openxmlformats.org/drawingml/2006/main">
                      <a:ext uri="{FF2B5EF4-FFF2-40B4-BE49-F238E27FC236}">
                        <a16:creationId xmlns:a16="http://schemas.microsoft.com/office/drawing/2014/main" id="{B5BE7159-62DB-4B6E-BDE9-219730A4FB34}"/>
                      </a:ext>
                    </a:extLst>
                  </wp:docPr>
                  <wp:cNvGraphicFramePr/>
                  <a:graphic xmlns:a="http://schemas.openxmlformats.org/drawingml/2006/main">
                    <a:graphicData uri="http://schemas.openxmlformats.org/drawingml/2006/picture">
                      <pic:pic xmlns:pic="http://schemas.openxmlformats.org/drawingml/2006/picture">
                        <pic:nvPicPr>
                          <pic:cNvPr id="3" name="Imagen 1" descr="Diagrama&#10;&#10;El contenido generado por IA puede ser incorrecto.">
                            <a:extLst>
                              <a:ext uri="{FF2B5EF4-FFF2-40B4-BE49-F238E27FC236}">
                                <a16:creationId xmlns:a16="http://schemas.microsoft.com/office/drawing/2014/main" id="{B5BE7159-62DB-4B6E-BDE9-219730A4FB34}"/>
                              </a:ext>
                            </a:extLst>
                          </pic:cNvPr>
                          <pic:cNvPicPr>
                            <a:picLocks noChangeAspect="1"/>
                          </pic:cNvPicPr>
                        </pic:nvPicPr>
                        <pic:blipFill>
                          <a:blip r:embed="rId19"/>
                          <a:stretch>
                            <a:fillRect/>
                          </a:stretch>
                        </pic:blipFill>
                        <pic:spPr>
                          <a:xfrm>
                            <a:off x="0" y="0"/>
                            <a:ext cx="4088658" cy="3627120"/>
                          </a:xfrm>
                          <a:prstGeom prst="rect">
                            <a:avLst/>
                          </a:prstGeom>
                        </pic:spPr>
                      </pic:pic>
                    </a:graphicData>
                  </a:graphic>
                  <wp14:sizeRelH relativeFrom="page">
                    <wp14:pctWidth>0</wp14:pctWidth>
                  </wp14:sizeRelH>
                  <wp14:sizeRelV relativeFrom="page">
                    <wp14:pctHeight>0</wp14:pctHeight>
                  </wp14:sizeRelV>
                </wp:anchor>
              </w:drawing>
            </w:r>
          </w:p>
        </w:tc>
      </w:tr>
      <w:tr w:rsidR="00160081" w:rsidRPr="00160081" w14:paraId="18A0F8B6" w14:textId="77777777" w:rsidTr="00BD3D91">
        <w:trPr>
          <w:trHeight w:val="945"/>
        </w:trPr>
        <w:tc>
          <w:tcPr>
            <w:tcW w:w="2260" w:type="dxa"/>
            <w:shd w:val="clear" w:color="000000" w:fill="D9D9D9"/>
            <w:vAlign w:val="center"/>
            <w:hideMark/>
          </w:tcPr>
          <w:p w14:paraId="276156E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200" w:type="dxa"/>
            <w:vAlign w:val="center"/>
            <w:hideMark/>
          </w:tcPr>
          <w:p w14:paraId="5C5088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Reglas de negocio para asignación de obligaciones y reglas de negocio para entrega, recepción y pago de declaraciones</w:t>
            </w:r>
          </w:p>
        </w:tc>
      </w:tr>
      <w:tr w:rsidR="00160081" w:rsidRPr="00160081" w14:paraId="4F4B7E0F" w14:textId="77777777" w:rsidTr="00BD3D91">
        <w:trPr>
          <w:trHeight w:val="908"/>
        </w:trPr>
        <w:tc>
          <w:tcPr>
            <w:tcW w:w="2260" w:type="dxa"/>
            <w:shd w:val="clear" w:color="000000" w:fill="D9D9D9"/>
            <w:vAlign w:val="center"/>
            <w:hideMark/>
          </w:tcPr>
          <w:p w14:paraId="72721C1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200" w:type="dxa"/>
            <w:vAlign w:val="center"/>
            <w:hideMark/>
          </w:tcPr>
          <w:p w14:paraId="1EAC33C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 Catálogos y catastros</w:t>
            </w:r>
            <w:r w:rsidRPr="00160081">
              <w:rPr>
                <w:rFonts w:cstheme="minorHAnsi"/>
                <w:color w:val="000000"/>
                <w:sz w:val="20"/>
                <w:szCs w:val="20"/>
              </w:rPr>
              <w:br/>
              <w:t>Bases de datos internas y externas</w:t>
            </w:r>
            <w:r w:rsidRPr="00160081">
              <w:rPr>
                <w:rFonts w:cstheme="minorHAnsi"/>
                <w:color w:val="000000"/>
                <w:sz w:val="20"/>
                <w:szCs w:val="20"/>
              </w:rPr>
              <w:br/>
              <w:t xml:space="preserve">Data </w:t>
            </w:r>
            <w:proofErr w:type="spellStart"/>
            <w:r w:rsidRPr="00160081">
              <w:rPr>
                <w:rFonts w:cstheme="minorHAnsi"/>
                <w:color w:val="000000"/>
                <w:sz w:val="20"/>
                <w:szCs w:val="20"/>
              </w:rPr>
              <w:t>Fabric</w:t>
            </w:r>
            <w:proofErr w:type="spellEnd"/>
          </w:p>
        </w:tc>
      </w:tr>
      <w:tr w:rsidR="00160081" w:rsidRPr="00160081" w14:paraId="41B71608" w14:textId="77777777" w:rsidTr="00BD3D91">
        <w:trPr>
          <w:trHeight w:val="82"/>
        </w:trPr>
        <w:tc>
          <w:tcPr>
            <w:tcW w:w="2260" w:type="dxa"/>
            <w:shd w:val="clear" w:color="000000" w:fill="D9D9D9"/>
            <w:vAlign w:val="center"/>
            <w:hideMark/>
          </w:tcPr>
          <w:p w14:paraId="1E2FEFB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200" w:type="dxa"/>
            <w:vAlign w:val="center"/>
            <w:hideMark/>
          </w:tcPr>
          <w:p w14:paraId="300B6F3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w:t>
            </w:r>
          </w:p>
        </w:tc>
      </w:tr>
      <w:tr w:rsidR="00160081" w:rsidRPr="00160081" w14:paraId="756F4105" w14:textId="77777777" w:rsidTr="00BD3D91">
        <w:trPr>
          <w:trHeight w:val="82"/>
        </w:trPr>
        <w:tc>
          <w:tcPr>
            <w:tcW w:w="2260" w:type="dxa"/>
            <w:shd w:val="clear" w:color="000000" w:fill="D9D9D9"/>
            <w:vAlign w:val="center"/>
            <w:hideMark/>
          </w:tcPr>
          <w:p w14:paraId="27D5047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200" w:type="dxa"/>
            <w:vAlign w:val="center"/>
            <w:hideMark/>
          </w:tcPr>
          <w:p w14:paraId="32189DE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Doscientas (200) reglas promedio por impuesto al año</w:t>
            </w:r>
          </w:p>
        </w:tc>
      </w:tr>
      <w:tr w:rsidR="00160081" w:rsidRPr="00160081" w14:paraId="3CBF37B0" w14:textId="77777777" w:rsidTr="00BD3D91">
        <w:trPr>
          <w:trHeight w:val="883"/>
        </w:trPr>
        <w:tc>
          <w:tcPr>
            <w:tcW w:w="2260" w:type="dxa"/>
            <w:shd w:val="clear" w:color="000000" w:fill="D9D9D9"/>
            <w:vAlign w:val="center"/>
            <w:hideMark/>
          </w:tcPr>
          <w:p w14:paraId="481E584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200" w:type="dxa"/>
            <w:vAlign w:val="center"/>
            <w:hideMark/>
          </w:tcPr>
          <w:p w14:paraId="4F2E42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Código Tributario, Leyes y reglamentos (reformas) correspondientes, Resoluciones, circulares y memos internos SRI.</w:t>
            </w:r>
          </w:p>
        </w:tc>
      </w:tr>
      <w:tr w:rsidR="00160081" w:rsidRPr="00160081" w14:paraId="1B034788" w14:textId="77777777" w:rsidTr="00BD3D91">
        <w:trPr>
          <w:trHeight w:val="945"/>
        </w:trPr>
        <w:tc>
          <w:tcPr>
            <w:tcW w:w="2260" w:type="dxa"/>
            <w:shd w:val="clear" w:color="000000" w:fill="D9D9D9"/>
            <w:vAlign w:val="center"/>
            <w:hideMark/>
          </w:tcPr>
          <w:p w14:paraId="0EC837E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200" w:type="dxa"/>
            <w:vAlign w:val="center"/>
            <w:hideMark/>
          </w:tcPr>
          <w:p w14:paraId="3216428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Mayor eficiencia y reducción de tiempos en la construcción y aplicación de reglas de negocio</w:t>
            </w:r>
          </w:p>
        </w:tc>
      </w:tr>
      <w:tr w:rsidR="00160081" w:rsidRPr="00160081" w14:paraId="5A7FEF4E" w14:textId="77777777" w:rsidTr="00BD3D91">
        <w:trPr>
          <w:trHeight w:val="158"/>
        </w:trPr>
        <w:tc>
          <w:tcPr>
            <w:tcW w:w="2260" w:type="dxa"/>
            <w:shd w:val="clear" w:color="000000" w:fill="D9D9D9"/>
            <w:vAlign w:val="center"/>
            <w:hideMark/>
          </w:tcPr>
          <w:p w14:paraId="67DBE40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200" w:type="dxa"/>
            <w:vAlign w:val="center"/>
            <w:hideMark/>
          </w:tcPr>
          <w:p w14:paraId="79C6CBA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para recaudación voluntaria</w:t>
            </w:r>
          </w:p>
        </w:tc>
      </w:tr>
    </w:tbl>
    <w:p w14:paraId="790C662A" w14:textId="77777777" w:rsidR="00160081" w:rsidRPr="00160081" w:rsidRDefault="00160081" w:rsidP="00160081">
      <w:pPr>
        <w:ind w:left="720"/>
        <w:jc w:val="both"/>
        <w:rPr>
          <w:rFonts w:cstheme="minorHAnsi"/>
          <w:sz w:val="20"/>
          <w:szCs w:val="20"/>
        </w:rPr>
      </w:pPr>
    </w:p>
    <w:tbl>
      <w:tblPr>
        <w:tblW w:w="9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0"/>
        <w:gridCol w:w="7200"/>
      </w:tblGrid>
      <w:tr w:rsidR="00160081" w:rsidRPr="00160081" w14:paraId="50188DA0" w14:textId="77777777" w:rsidTr="00BD3D91">
        <w:trPr>
          <w:trHeight w:val="416"/>
        </w:trPr>
        <w:tc>
          <w:tcPr>
            <w:tcW w:w="2260" w:type="dxa"/>
            <w:shd w:val="clear" w:color="000000" w:fill="D9D9D9"/>
            <w:vAlign w:val="center"/>
            <w:hideMark/>
          </w:tcPr>
          <w:p w14:paraId="6BB8498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200" w:type="dxa"/>
            <w:shd w:val="clear" w:color="000000" w:fill="FFFFFF"/>
            <w:vAlign w:val="center"/>
            <w:hideMark/>
          </w:tcPr>
          <w:p w14:paraId="17E8913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CU-02</w:t>
            </w:r>
          </w:p>
        </w:tc>
      </w:tr>
      <w:tr w:rsidR="00160081" w:rsidRPr="00160081" w14:paraId="1065C31E" w14:textId="77777777" w:rsidTr="00BD3D91">
        <w:trPr>
          <w:trHeight w:val="694"/>
        </w:trPr>
        <w:tc>
          <w:tcPr>
            <w:tcW w:w="2260" w:type="dxa"/>
            <w:shd w:val="clear" w:color="000000" w:fill="D9D9D9"/>
            <w:vAlign w:val="center"/>
            <w:hideMark/>
          </w:tcPr>
          <w:p w14:paraId="58FE235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200" w:type="dxa"/>
            <w:vAlign w:val="center"/>
            <w:hideMark/>
          </w:tcPr>
          <w:p w14:paraId="289FAAB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Reglas de Negocio – Impuesto al Valor Agregado (IVA)</w:t>
            </w:r>
          </w:p>
        </w:tc>
      </w:tr>
      <w:tr w:rsidR="00160081" w:rsidRPr="00160081" w14:paraId="68657EB2" w14:textId="77777777" w:rsidTr="00BD3D91">
        <w:trPr>
          <w:trHeight w:val="704"/>
        </w:trPr>
        <w:tc>
          <w:tcPr>
            <w:tcW w:w="2260" w:type="dxa"/>
            <w:shd w:val="clear" w:color="000000" w:fill="D9D9D9"/>
            <w:vAlign w:val="center"/>
            <w:hideMark/>
          </w:tcPr>
          <w:p w14:paraId="2AFB210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200" w:type="dxa"/>
            <w:vAlign w:val="center"/>
            <w:hideMark/>
          </w:tcPr>
          <w:p w14:paraId="7F2FD0A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Construir las reglas de negocio de asignación, presentación y pago de las obligaciones tributarias, considerando las fuentes de información (internas y externas).</w:t>
            </w:r>
          </w:p>
        </w:tc>
      </w:tr>
      <w:tr w:rsidR="00160081" w:rsidRPr="00160081" w14:paraId="0E672335" w14:textId="77777777" w:rsidTr="00BD3D91">
        <w:trPr>
          <w:trHeight w:val="1890"/>
        </w:trPr>
        <w:tc>
          <w:tcPr>
            <w:tcW w:w="2260" w:type="dxa"/>
            <w:shd w:val="clear" w:color="000000" w:fill="D9D9D9"/>
            <w:vAlign w:val="center"/>
            <w:hideMark/>
          </w:tcPr>
          <w:p w14:paraId="18BA6AA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200" w:type="dxa"/>
            <w:vAlign w:val="center"/>
            <w:hideMark/>
          </w:tcPr>
          <w:p w14:paraId="42994E8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Inicia con el entendimiento de la obligación tributaria en base a la normativa tributaria (actual o reformas propuestas), y la disponibilidad de fuentes internas de información (catálogos, bases de datos, sistemas y aplicativos) para la construcción de reglas de negocio de asignación, presentación y pago de las obligaciones tributarias y su posterior integración con los diferentes sistemas y aplicativos institucionales</w:t>
            </w:r>
          </w:p>
        </w:tc>
      </w:tr>
      <w:tr w:rsidR="00160081" w:rsidRPr="00160081" w14:paraId="034694D3" w14:textId="77777777" w:rsidTr="00BD3D91">
        <w:trPr>
          <w:trHeight w:val="945"/>
        </w:trPr>
        <w:tc>
          <w:tcPr>
            <w:tcW w:w="2260" w:type="dxa"/>
            <w:shd w:val="clear" w:color="000000" w:fill="D9D9D9"/>
            <w:vAlign w:val="center"/>
            <w:hideMark/>
          </w:tcPr>
          <w:p w14:paraId="25BE73A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200" w:type="dxa"/>
            <w:vAlign w:val="center"/>
            <w:hideMark/>
          </w:tcPr>
          <w:p w14:paraId="1666DD5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Ficha de entendimiento de la obligación tributaria, </w:t>
            </w:r>
            <w:r w:rsidRPr="00160081">
              <w:rPr>
                <w:rFonts w:cstheme="minorHAnsi"/>
                <w:color w:val="000000"/>
                <w:sz w:val="20"/>
                <w:szCs w:val="20"/>
              </w:rPr>
              <w:br/>
              <w:t>Catálogos y catastros</w:t>
            </w:r>
            <w:r w:rsidRPr="00160081">
              <w:rPr>
                <w:rFonts w:cstheme="minorHAnsi"/>
                <w:color w:val="000000"/>
                <w:sz w:val="20"/>
                <w:szCs w:val="20"/>
              </w:rPr>
              <w:br/>
              <w:t>Bases de datos internas y externas</w:t>
            </w:r>
          </w:p>
        </w:tc>
      </w:tr>
      <w:tr w:rsidR="00160081" w:rsidRPr="00160081" w14:paraId="257BAB49" w14:textId="77777777" w:rsidTr="00BD3D91">
        <w:trPr>
          <w:trHeight w:val="82"/>
        </w:trPr>
        <w:tc>
          <w:tcPr>
            <w:tcW w:w="2260" w:type="dxa"/>
            <w:shd w:val="clear" w:color="000000" w:fill="D9D9D9"/>
            <w:vAlign w:val="center"/>
            <w:hideMark/>
          </w:tcPr>
          <w:p w14:paraId="45C80EE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200" w:type="dxa"/>
            <w:vAlign w:val="center"/>
            <w:hideMark/>
          </w:tcPr>
          <w:p w14:paraId="26F1CE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Configuraciones de reglas de negocio para el consumo de los aplicativos internos</w:t>
            </w:r>
          </w:p>
        </w:tc>
      </w:tr>
      <w:tr w:rsidR="00160081" w:rsidRPr="00160081" w14:paraId="2171C4CA" w14:textId="77777777" w:rsidTr="00BD3D91">
        <w:trPr>
          <w:trHeight w:val="274"/>
        </w:trPr>
        <w:tc>
          <w:tcPr>
            <w:tcW w:w="2260" w:type="dxa"/>
            <w:shd w:val="clear" w:color="000000" w:fill="D9D9D9"/>
            <w:vAlign w:val="center"/>
            <w:hideMark/>
          </w:tcPr>
          <w:p w14:paraId="1466D71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200" w:type="dxa"/>
            <w:vAlign w:val="center"/>
            <w:hideMark/>
          </w:tcPr>
          <w:p w14:paraId="4855DF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Jefatura departamental, Coordinador,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del Impuesto, usuario administrador</w:t>
            </w:r>
          </w:p>
        </w:tc>
      </w:tr>
      <w:tr w:rsidR="00160081" w:rsidRPr="00160081" w14:paraId="4B11CA01" w14:textId="77777777" w:rsidTr="00BD3D91">
        <w:trPr>
          <w:trHeight w:val="6263"/>
        </w:trPr>
        <w:tc>
          <w:tcPr>
            <w:tcW w:w="2260" w:type="dxa"/>
            <w:shd w:val="clear" w:color="000000" w:fill="D9D9D9"/>
            <w:vAlign w:val="center"/>
            <w:hideMark/>
          </w:tcPr>
          <w:p w14:paraId="249738E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200" w:type="dxa"/>
            <w:vAlign w:val="center"/>
            <w:hideMark/>
          </w:tcPr>
          <w:p w14:paraId="586F90C5" w14:textId="77777777" w:rsidR="00160081" w:rsidRPr="00160081" w:rsidRDefault="00160081" w:rsidP="00BD3D91">
            <w:pPr>
              <w:rPr>
                <w:rFonts w:cstheme="minorHAnsi"/>
                <w:color w:val="000000"/>
                <w:sz w:val="20"/>
                <w:szCs w:val="20"/>
              </w:rPr>
            </w:pPr>
            <w:r w:rsidRPr="00160081">
              <w:rPr>
                <w:rFonts w:cstheme="minorHAnsi"/>
                <w:noProof/>
                <w:color w:val="000000"/>
                <w:sz w:val="20"/>
                <w:szCs w:val="20"/>
              </w:rPr>
              <w:drawing>
                <wp:anchor distT="0" distB="0" distL="114300" distR="114300" simplePos="0" relativeHeight="251660288" behindDoc="0" locked="0" layoutInCell="1" allowOverlap="1" wp14:anchorId="7DE35696" wp14:editId="157DB660">
                  <wp:simplePos x="0" y="0"/>
                  <wp:positionH relativeFrom="column">
                    <wp:posOffset>304800</wp:posOffset>
                  </wp:positionH>
                  <wp:positionV relativeFrom="paragraph">
                    <wp:posOffset>57150</wp:posOffset>
                  </wp:positionV>
                  <wp:extent cx="4086225" cy="3629025"/>
                  <wp:effectExtent l="0" t="0" r="9525" b="0"/>
                  <wp:wrapNone/>
                  <wp:docPr id="5" name="Imagen 3" descr="Diagrama&#10;&#10;El contenido generado por IA puede ser incorrecto.">
                    <a:extLst xmlns:a="http://schemas.openxmlformats.org/drawingml/2006/main">
                      <a:ext uri="{FF2B5EF4-FFF2-40B4-BE49-F238E27FC236}">
                        <a16:creationId xmlns:a16="http://schemas.microsoft.com/office/drawing/2014/main" id="{0987D33D-ED7D-0C4C-9123-46E1D8357C1F}"/>
                      </a:ext>
                    </a:extLst>
                  </wp:docPr>
                  <wp:cNvGraphicFramePr/>
                  <a:graphic xmlns:a="http://schemas.openxmlformats.org/drawingml/2006/main">
                    <a:graphicData uri="http://schemas.openxmlformats.org/drawingml/2006/picture">
                      <pic:pic xmlns:pic="http://schemas.openxmlformats.org/drawingml/2006/picture">
                        <pic:nvPicPr>
                          <pic:cNvPr id="5" name="Imagen 3" descr="Diagrama&#10;&#10;El contenido generado por IA puede ser incorrecto.">
                            <a:extLst>
                              <a:ext uri="{FF2B5EF4-FFF2-40B4-BE49-F238E27FC236}">
                                <a16:creationId xmlns:a16="http://schemas.microsoft.com/office/drawing/2014/main" id="{0987D33D-ED7D-0C4C-9123-46E1D8357C1F}"/>
                              </a:ext>
                            </a:extLst>
                          </pic:cNvPr>
                          <pic:cNvPicPr>
                            <a:picLocks noChangeAspect="1"/>
                          </pic:cNvPicPr>
                        </pic:nvPicPr>
                        <pic:blipFill>
                          <a:blip r:embed="rId19"/>
                          <a:stretch>
                            <a:fillRect/>
                          </a:stretch>
                        </pic:blipFill>
                        <pic:spPr>
                          <a:xfrm>
                            <a:off x="0" y="0"/>
                            <a:ext cx="4088658" cy="3627120"/>
                          </a:xfrm>
                          <a:prstGeom prst="rect">
                            <a:avLst/>
                          </a:prstGeom>
                        </pic:spPr>
                      </pic:pic>
                    </a:graphicData>
                  </a:graphic>
                  <wp14:sizeRelH relativeFrom="page">
                    <wp14:pctWidth>0</wp14:pctWidth>
                  </wp14:sizeRelH>
                  <wp14:sizeRelV relativeFrom="page">
                    <wp14:pctHeight>0</wp14:pctHeight>
                  </wp14:sizeRelV>
                </wp:anchor>
              </w:drawing>
            </w:r>
            <w:r w:rsidRPr="00160081">
              <w:rPr>
                <w:rFonts w:cstheme="minorHAnsi"/>
                <w:noProof/>
                <w:color w:val="000000"/>
                <w:sz w:val="20"/>
                <w:szCs w:val="20"/>
              </w:rPr>
              <w:drawing>
                <wp:anchor distT="0" distB="0" distL="114300" distR="114300" simplePos="0" relativeHeight="251661312" behindDoc="0" locked="0" layoutInCell="1" allowOverlap="1" wp14:anchorId="12CA3A59" wp14:editId="732D2805">
                  <wp:simplePos x="0" y="0"/>
                  <wp:positionH relativeFrom="column">
                    <wp:posOffset>0</wp:posOffset>
                  </wp:positionH>
                  <wp:positionV relativeFrom="paragraph">
                    <wp:posOffset>200025</wp:posOffset>
                  </wp:positionV>
                  <wp:extent cx="4086225" cy="3629025"/>
                  <wp:effectExtent l="0" t="0" r="9525" b="0"/>
                  <wp:wrapNone/>
                  <wp:docPr id="1371104659" name="Imagen 2" descr="Diagrama&#10;&#10;El contenido generado por IA puede ser incorrecto.">
                    <a:extLst xmlns:a="http://schemas.openxmlformats.org/drawingml/2006/main">
                      <a:ext uri="{FF2B5EF4-FFF2-40B4-BE49-F238E27FC236}">
                        <a16:creationId xmlns:a16="http://schemas.microsoft.com/office/drawing/2014/main" id="{586C41F6-3D0D-824E-B3A4-15843E98F258}"/>
                      </a:ext>
                    </a:extLst>
                  </wp:docPr>
                  <wp:cNvGraphicFramePr/>
                  <a:graphic xmlns:a="http://schemas.openxmlformats.org/drawingml/2006/main">
                    <a:graphicData uri="http://schemas.openxmlformats.org/drawingml/2006/picture">
                      <pic:pic xmlns:pic="http://schemas.openxmlformats.org/drawingml/2006/picture">
                        <pic:nvPicPr>
                          <pic:cNvPr id="1371104659" name="Imagen 2" descr="Diagrama&#10;&#10;El contenido generado por IA puede ser incorrecto.">
                            <a:extLst>
                              <a:ext uri="{FF2B5EF4-FFF2-40B4-BE49-F238E27FC236}">
                                <a16:creationId xmlns:a16="http://schemas.microsoft.com/office/drawing/2014/main" id="{586C41F6-3D0D-824E-B3A4-15843E98F258}"/>
                              </a:ext>
                            </a:extLst>
                          </pic:cNvPr>
                          <pic:cNvPicPr>
                            <a:picLocks noChangeAspect="1"/>
                          </pic:cNvPicPr>
                        </pic:nvPicPr>
                        <pic:blipFill>
                          <a:blip r:embed="rId19"/>
                          <a:stretch>
                            <a:fillRect/>
                          </a:stretch>
                        </pic:blipFill>
                        <pic:spPr>
                          <a:xfrm>
                            <a:off x="0" y="0"/>
                            <a:ext cx="4088658" cy="3627120"/>
                          </a:xfrm>
                          <a:prstGeom prst="rect">
                            <a:avLst/>
                          </a:prstGeom>
                        </pic:spPr>
                      </pic:pic>
                    </a:graphicData>
                  </a:graphic>
                  <wp14:sizeRelH relativeFrom="page">
                    <wp14:pctWidth>0</wp14:pctWidth>
                  </wp14:sizeRelH>
                  <wp14:sizeRelV relativeFrom="page">
                    <wp14:pctHeight>0</wp14:pctHeight>
                  </wp14:sizeRelV>
                </wp:anchor>
              </w:drawing>
            </w:r>
          </w:p>
        </w:tc>
      </w:tr>
      <w:tr w:rsidR="00160081" w:rsidRPr="00160081" w14:paraId="241A209E" w14:textId="77777777" w:rsidTr="00BD3D91">
        <w:trPr>
          <w:trHeight w:val="945"/>
        </w:trPr>
        <w:tc>
          <w:tcPr>
            <w:tcW w:w="2260" w:type="dxa"/>
            <w:shd w:val="clear" w:color="000000" w:fill="D9D9D9"/>
            <w:vAlign w:val="center"/>
            <w:hideMark/>
          </w:tcPr>
          <w:p w14:paraId="047F6C8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200" w:type="dxa"/>
            <w:vAlign w:val="center"/>
            <w:hideMark/>
          </w:tcPr>
          <w:p w14:paraId="2773E4B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Reglas de negocio para asignación de obligaciones y reglas de negocio para entrega, recepción y pago de declaraciones</w:t>
            </w:r>
          </w:p>
        </w:tc>
      </w:tr>
      <w:tr w:rsidR="00160081" w:rsidRPr="00160081" w14:paraId="0DE0203D" w14:textId="77777777" w:rsidTr="00221BF3">
        <w:trPr>
          <w:trHeight w:val="702"/>
        </w:trPr>
        <w:tc>
          <w:tcPr>
            <w:tcW w:w="2260" w:type="dxa"/>
            <w:shd w:val="clear" w:color="000000" w:fill="D9D9D9"/>
            <w:vAlign w:val="center"/>
            <w:hideMark/>
          </w:tcPr>
          <w:p w14:paraId="1962029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200" w:type="dxa"/>
            <w:vAlign w:val="center"/>
            <w:hideMark/>
          </w:tcPr>
          <w:p w14:paraId="600A801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Catálogos y catastros</w:t>
            </w:r>
            <w:r w:rsidRPr="00160081">
              <w:rPr>
                <w:rFonts w:cstheme="minorHAnsi"/>
                <w:color w:val="000000"/>
                <w:sz w:val="20"/>
                <w:szCs w:val="20"/>
              </w:rPr>
              <w:br/>
              <w:t>Bases de datos internas y externas</w:t>
            </w:r>
            <w:r w:rsidRPr="00160081">
              <w:rPr>
                <w:rFonts w:cstheme="minorHAnsi"/>
                <w:color w:val="000000"/>
                <w:sz w:val="20"/>
                <w:szCs w:val="20"/>
              </w:rPr>
              <w:br/>
              <w:t xml:space="preserve">Data </w:t>
            </w:r>
            <w:proofErr w:type="spellStart"/>
            <w:r w:rsidRPr="00160081">
              <w:rPr>
                <w:rFonts w:cstheme="minorHAnsi"/>
                <w:color w:val="000000"/>
                <w:sz w:val="20"/>
                <w:szCs w:val="20"/>
              </w:rPr>
              <w:t>Fabric</w:t>
            </w:r>
            <w:proofErr w:type="spellEnd"/>
          </w:p>
        </w:tc>
      </w:tr>
      <w:tr w:rsidR="00160081" w:rsidRPr="00160081" w14:paraId="4F2B473A" w14:textId="77777777" w:rsidTr="00221BF3">
        <w:trPr>
          <w:trHeight w:val="447"/>
        </w:trPr>
        <w:tc>
          <w:tcPr>
            <w:tcW w:w="2260" w:type="dxa"/>
            <w:shd w:val="clear" w:color="000000" w:fill="D9D9D9"/>
            <w:vAlign w:val="center"/>
            <w:hideMark/>
          </w:tcPr>
          <w:p w14:paraId="6A4174A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200" w:type="dxa"/>
            <w:vAlign w:val="center"/>
            <w:hideMark/>
          </w:tcPr>
          <w:p w14:paraId="6C247F0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w:t>
            </w:r>
          </w:p>
        </w:tc>
      </w:tr>
      <w:tr w:rsidR="00160081" w:rsidRPr="00160081" w14:paraId="21E9608B" w14:textId="77777777" w:rsidTr="00221BF3">
        <w:trPr>
          <w:trHeight w:val="613"/>
        </w:trPr>
        <w:tc>
          <w:tcPr>
            <w:tcW w:w="2260" w:type="dxa"/>
            <w:shd w:val="clear" w:color="000000" w:fill="D9D9D9"/>
            <w:vAlign w:val="center"/>
            <w:hideMark/>
          </w:tcPr>
          <w:p w14:paraId="4A5861B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200" w:type="dxa"/>
            <w:vAlign w:val="center"/>
            <w:hideMark/>
          </w:tcPr>
          <w:p w14:paraId="3BAAC8E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Doscientas (200) reglas promedio por impuesto al año</w:t>
            </w:r>
          </w:p>
        </w:tc>
      </w:tr>
      <w:tr w:rsidR="00160081" w:rsidRPr="00160081" w14:paraId="4CB5E4EE" w14:textId="77777777" w:rsidTr="00BD3D91">
        <w:trPr>
          <w:trHeight w:val="416"/>
        </w:trPr>
        <w:tc>
          <w:tcPr>
            <w:tcW w:w="2260" w:type="dxa"/>
            <w:shd w:val="clear" w:color="000000" w:fill="D9D9D9"/>
            <w:vAlign w:val="center"/>
            <w:hideMark/>
          </w:tcPr>
          <w:p w14:paraId="1129713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200" w:type="dxa"/>
            <w:vAlign w:val="center"/>
            <w:hideMark/>
          </w:tcPr>
          <w:p w14:paraId="7DE81D3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Código Tributario, Leyes y reglamentos (reformas) correspondientes, Resoluciones, circulares y memos internos SRI.</w:t>
            </w:r>
          </w:p>
        </w:tc>
      </w:tr>
      <w:tr w:rsidR="00160081" w:rsidRPr="00160081" w14:paraId="566C382A" w14:textId="77777777" w:rsidTr="00BD3D91">
        <w:trPr>
          <w:trHeight w:val="82"/>
        </w:trPr>
        <w:tc>
          <w:tcPr>
            <w:tcW w:w="2260" w:type="dxa"/>
            <w:shd w:val="clear" w:color="000000" w:fill="D9D9D9"/>
            <w:vAlign w:val="center"/>
            <w:hideMark/>
          </w:tcPr>
          <w:p w14:paraId="791C546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200" w:type="dxa"/>
            <w:vAlign w:val="center"/>
            <w:hideMark/>
          </w:tcPr>
          <w:p w14:paraId="4EDEDA5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Mayor eficiencia y reducción de tiempos en la construcción y aplicación de reglas de negocio</w:t>
            </w:r>
          </w:p>
        </w:tc>
      </w:tr>
      <w:tr w:rsidR="00160081" w:rsidRPr="00160081" w14:paraId="309B4990" w14:textId="77777777" w:rsidTr="00BD3D91">
        <w:trPr>
          <w:trHeight w:val="82"/>
        </w:trPr>
        <w:tc>
          <w:tcPr>
            <w:tcW w:w="2260" w:type="dxa"/>
            <w:shd w:val="clear" w:color="000000" w:fill="D9D9D9"/>
            <w:vAlign w:val="center"/>
            <w:hideMark/>
          </w:tcPr>
          <w:p w14:paraId="10B392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200" w:type="dxa"/>
            <w:vAlign w:val="center"/>
            <w:hideMark/>
          </w:tcPr>
          <w:p w14:paraId="5400752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para recaudación voluntaria</w:t>
            </w:r>
          </w:p>
        </w:tc>
      </w:tr>
    </w:tbl>
    <w:p w14:paraId="5061DE78" w14:textId="77777777" w:rsidR="00160081" w:rsidRPr="00160081" w:rsidRDefault="00160081" w:rsidP="00160081">
      <w:pPr>
        <w:ind w:left="720"/>
        <w:jc w:val="both"/>
        <w:rPr>
          <w:rFonts w:cstheme="minorHAnsi"/>
          <w:sz w:val="20"/>
          <w:szCs w:val="20"/>
        </w:rPr>
      </w:pPr>
    </w:p>
    <w:tbl>
      <w:tblPr>
        <w:tblW w:w="9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7279"/>
      </w:tblGrid>
      <w:tr w:rsidR="00160081" w:rsidRPr="00160081" w14:paraId="1CEBFB67" w14:textId="77777777" w:rsidTr="00BD3D91">
        <w:trPr>
          <w:trHeight w:val="123"/>
        </w:trPr>
        <w:tc>
          <w:tcPr>
            <w:tcW w:w="2263" w:type="dxa"/>
            <w:shd w:val="clear" w:color="000000" w:fill="D9D9D9"/>
            <w:vAlign w:val="center"/>
            <w:hideMark/>
          </w:tcPr>
          <w:p w14:paraId="55A0948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279" w:type="dxa"/>
            <w:vAlign w:val="center"/>
            <w:hideMark/>
          </w:tcPr>
          <w:p w14:paraId="0C6F17A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CU-03</w:t>
            </w:r>
          </w:p>
        </w:tc>
      </w:tr>
      <w:tr w:rsidR="00160081" w:rsidRPr="00160081" w14:paraId="4FD74C6C" w14:textId="77777777" w:rsidTr="00BD3D91">
        <w:trPr>
          <w:trHeight w:val="82"/>
        </w:trPr>
        <w:tc>
          <w:tcPr>
            <w:tcW w:w="2263" w:type="dxa"/>
            <w:shd w:val="clear" w:color="000000" w:fill="D9D9D9"/>
            <w:vAlign w:val="center"/>
            <w:hideMark/>
          </w:tcPr>
          <w:p w14:paraId="241850B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279" w:type="dxa"/>
            <w:vAlign w:val="center"/>
            <w:hideMark/>
          </w:tcPr>
          <w:p w14:paraId="53DC91E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Gestión de Riesgos Tributarios-Impuesto a la Renta</w:t>
            </w:r>
          </w:p>
        </w:tc>
      </w:tr>
      <w:tr w:rsidR="00160081" w:rsidRPr="00160081" w14:paraId="6C45C381" w14:textId="77777777" w:rsidTr="00BD3D91">
        <w:trPr>
          <w:trHeight w:val="566"/>
        </w:trPr>
        <w:tc>
          <w:tcPr>
            <w:tcW w:w="2263" w:type="dxa"/>
            <w:shd w:val="clear" w:color="000000" w:fill="D9D9D9"/>
            <w:vAlign w:val="center"/>
            <w:hideMark/>
          </w:tcPr>
          <w:p w14:paraId="119BB9D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279" w:type="dxa"/>
            <w:vAlign w:val="center"/>
            <w:hideMark/>
          </w:tcPr>
          <w:p w14:paraId="1E34D7C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Aplicar las etapas del Modelo de Gestión de Control Tributario -MGCT para la gestión de riesgos tributarios de los impuestos seleccionados (Identificación RT, Priorización RT, Programación de Estrategias de Tratamiento y Evaluación RT)</w:t>
            </w:r>
          </w:p>
        </w:tc>
      </w:tr>
      <w:tr w:rsidR="00160081" w:rsidRPr="00160081" w14:paraId="5441008C" w14:textId="77777777" w:rsidTr="00BD3D91">
        <w:trPr>
          <w:trHeight w:val="1718"/>
        </w:trPr>
        <w:tc>
          <w:tcPr>
            <w:tcW w:w="2263" w:type="dxa"/>
            <w:shd w:val="clear" w:color="000000" w:fill="D9D9D9"/>
            <w:vAlign w:val="center"/>
            <w:hideMark/>
          </w:tcPr>
          <w:p w14:paraId="4B6A152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279" w:type="dxa"/>
            <w:vAlign w:val="center"/>
            <w:hideMark/>
          </w:tcPr>
          <w:p w14:paraId="3FB9C17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Proceso que inicia desde la integración con los diferentes sistemas y aplicativos institucionales, principalmente el Data </w:t>
            </w:r>
            <w:proofErr w:type="spellStart"/>
            <w:r w:rsidRPr="00160081">
              <w:rPr>
                <w:rFonts w:cstheme="minorHAnsi"/>
                <w:color w:val="000000"/>
                <w:sz w:val="20"/>
                <w:szCs w:val="20"/>
              </w:rPr>
              <w:t>Fabric</w:t>
            </w:r>
            <w:proofErr w:type="spellEnd"/>
            <w:r w:rsidRPr="00160081">
              <w:rPr>
                <w:rFonts w:cstheme="minorHAnsi"/>
                <w:color w:val="000000"/>
                <w:sz w:val="20"/>
                <w:szCs w:val="20"/>
              </w:rPr>
              <w:t xml:space="preserve"> para procesar las fuentes de información y arrancar con la etapa de  identificación del riesgo, generación de la propuesta de priorización, programación de estrategias de tratamiento y despacho de casos con base a la capacidad operativa de las unidades hacia los procesos automatizados (Control de Veracidad y Gestión de Sanciones), y finalmente recibiendo de estos los resultados para la etapa de evaluación de los resultados e impacto de riesgos tributarios</w:t>
            </w:r>
          </w:p>
        </w:tc>
      </w:tr>
      <w:tr w:rsidR="00160081" w:rsidRPr="00160081" w14:paraId="67F61ABD" w14:textId="77777777" w:rsidTr="00BD3D91">
        <w:trPr>
          <w:trHeight w:val="722"/>
        </w:trPr>
        <w:tc>
          <w:tcPr>
            <w:tcW w:w="2263" w:type="dxa"/>
            <w:shd w:val="clear" w:color="000000" w:fill="D9D9D9"/>
            <w:vAlign w:val="center"/>
            <w:hideMark/>
          </w:tcPr>
          <w:p w14:paraId="5CBEEBC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279" w:type="dxa"/>
            <w:vAlign w:val="center"/>
            <w:hideMark/>
          </w:tcPr>
          <w:p w14:paraId="236800D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Ficha de identificación de riesgos</w:t>
            </w:r>
            <w:r w:rsidRPr="00160081">
              <w:rPr>
                <w:rFonts w:cstheme="minorHAnsi"/>
                <w:color w:val="000000"/>
                <w:sz w:val="20"/>
                <w:szCs w:val="20"/>
              </w:rPr>
              <w:br/>
              <w:t>Matriz de riesgos y causas</w:t>
            </w:r>
            <w:r w:rsidRPr="00160081">
              <w:rPr>
                <w:rFonts w:cstheme="minorHAnsi"/>
                <w:color w:val="000000"/>
                <w:sz w:val="20"/>
                <w:szCs w:val="20"/>
              </w:rPr>
              <w:br/>
              <w:t>Plan de Gestión de Cumplimiento Tributario - PGCT</w:t>
            </w:r>
            <w:r w:rsidRPr="00160081">
              <w:rPr>
                <w:rFonts w:cstheme="minorHAnsi"/>
                <w:color w:val="000000"/>
                <w:sz w:val="20"/>
                <w:szCs w:val="20"/>
              </w:rPr>
              <w:br/>
              <w:t>Política de Tratamientos</w:t>
            </w:r>
            <w:r w:rsidRPr="00160081">
              <w:rPr>
                <w:rFonts w:cstheme="minorHAnsi"/>
                <w:color w:val="000000"/>
                <w:sz w:val="20"/>
                <w:szCs w:val="20"/>
              </w:rPr>
              <w:br/>
              <w:t xml:space="preserve">Resultados de modelos de Data </w:t>
            </w:r>
            <w:proofErr w:type="spellStart"/>
            <w:r w:rsidRPr="00160081">
              <w:rPr>
                <w:rFonts w:cstheme="minorHAnsi"/>
                <w:color w:val="000000"/>
                <w:sz w:val="20"/>
                <w:szCs w:val="20"/>
              </w:rPr>
              <w:t>Fabric</w:t>
            </w:r>
            <w:proofErr w:type="spellEnd"/>
          </w:p>
        </w:tc>
      </w:tr>
      <w:tr w:rsidR="00160081" w:rsidRPr="00160081" w14:paraId="7DECD1E6" w14:textId="77777777" w:rsidTr="00BD3D91">
        <w:trPr>
          <w:trHeight w:val="1196"/>
        </w:trPr>
        <w:tc>
          <w:tcPr>
            <w:tcW w:w="2263" w:type="dxa"/>
            <w:shd w:val="clear" w:color="000000" w:fill="D9D9D9"/>
            <w:vAlign w:val="center"/>
            <w:hideMark/>
          </w:tcPr>
          <w:p w14:paraId="676CB98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279" w:type="dxa"/>
            <w:vAlign w:val="center"/>
            <w:hideMark/>
          </w:tcPr>
          <w:p w14:paraId="5117177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Propuesta de riesgos priorizados (Mapas, radares, </w:t>
            </w:r>
            <w:proofErr w:type="spellStart"/>
            <w:r w:rsidRPr="00160081">
              <w:rPr>
                <w:rFonts w:cstheme="minorHAnsi"/>
                <w:color w:val="000000"/>
                <w:sz w:val="20"/>
                <w:szCs w:val="20"/>
              </w:rPr>
              <w:t>dashboard</w:t>
            </w:r>
            <w:proofErr w:type="spellEnd"/>
            <w:r w:rsidRPr="00160081">
              <w:rPr>
                <w:rFonts w:cstheme="minorHAnsi"/>
                <w:color w:val="000000"/>
                <w:sz w:val="20"/>
                <w:szCs w:val="20"/>
              </w:rPr>
              <w:t>, etc.)</w:t>
            </w:r>
            <w:r w:rsidRPr="00160081">
              <w:rPr>
                <w:rFonts w:cstheme="minorHAnsi"/>
                <w:color w:val="000000"/>
                <w:sz w:val="20"/>
                <w:szCs w:val="20"/>
              </w:rPr>
              <w:br/>
              <w:t>Catálogo de riesgos tributarios</w:t>
            </w:r>
            <w:r w:rsidRPr="00160081">
              <w:rPr>
                <w:rFonts w:cstheme="minorHAnsi"/>
                <w:color w:val="000000"/>
                <w:sz w:val="20"/>
                <w:szCs w:val="20"/>
              </w:rPr>
              <w:br/>
              <w:t>Programación de estrategias de tratamiento</w:t>
            </w:r>
            <w:r w:rsidRPr="00160081">
              <w:rPr>
                <w:rFonts w:cstheme="minorHAnsi"/>
                <w:color w:val="000000"/>
                <w:sz w:val="20"/>
                <w:szCs w:val="20"/>
              </w:rPr>
              <w:br/>
              <w:t xml:space="preserve">Reporte y </w:t>
            </w:r>
            <w:proofErr w:type="spellStart"/>
            <w:r w:rsidRPr="00160081">
              <w:rPr>
                <w:rFonts w:cstheme="minorHAnsi"/>
                <w:color w:val="000000"/>
                <w:sz w:val="20"/>
                <w:szCs w:val="20"/>
              </w:rPr>
              <w:t>dashboard</w:t>
            </w:r>
            <w:proofErr w:type="spellEnd"/>
            <w:r w:rsidRPr="00160081">
              <w:rPr>
                <w:rFonts w:cstheme="minorHAnsi"/>
                <w:color w:val="000000"/>
                <w:sz w:val="20"/>
                <w:szCs w:val="20"/>
              </w:rPr>
              <w:t xml:space="preserve"> de evaluación </w:t>
            </w:r>
          </w:p>
        </w:tc>
      </w:tr>
      <w:tr w:rsidR="00160081" w:rsidRPr="00160081" w14:paraId="3487EA9A" w14:textId="77777777" w:rsidTr="00BD3D91">
        <w:trPr>
          <w:trHeight w:val="1254"/>
        </w:trPr>
        <w:tc>
          <w:tcPr>
            <w:tcW w:w="2263" w:type="dxa"/>
            <w:shd w:val="clear" w:color="000000" w:fill="D9D9D9"/>
            <w:vAlign w:val="center"/>
            <w:hideMark/>
          </w:tcPr>
          <w:p w14:paraId="013D6D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279" w:type="dxa"/>
            <w:vAlign w:val="center"/>
            <w:hideMark/>
          </w:tcPr>
          <w:p w14:paraId="2C96E97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Jefatura departamental, Coordinador,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del Impuesto, usuario administrador</w:t>
            </w:r>
          </w:p>
        </w:tc>
      </w:tr>
      <w:tr w:rsidR="00160081" w:rsidRPr="00160081" w14:paraId="3A6FD57D" w14:textId="77777777" w:rsidTr="00BD3D91">
        <w:trPr>
          <w:trHeight w:val="6234"/>
        </w:trPr>
        <w:tc>
          <w:tcPr>
            <w:tcW w:w="2263" w:type="dxa"/>
            <w:shd w:val="clear" w:color="000000" w:fill="D9D9D9"/>
            <w:vAlign w:val="center"/>
            <w:hideMark/>
          </w:tcPr>
          <w:p w14:paraId="5D3FEFE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279" w:type="dxa"/>
            <w:vAlign w:val="center"/>
            <w:hideMark/>
          </w:tcPr>
          <w:p w14:paraId="78E3137F" w14:textId="77777777" w:rsidR="00160081" w:rsidRPr="00160081" w:rsidRDefault="00160081" w:rsidP="00BD3D91">
            <w:pPr>
              <w:rPr>
                <w:rFonts w:cstheme="minorHAnsi"/>
                <w:color w:val="000000"/>
                <w:sz w:val="20"/>
                <w:szCs w:val="20"/>
              </w:rPr>
            </w:pPr>
            <w:r w:rsidRPr="00160081">
              <w:rPr>
                <w:rFonts w:cstheme="minorHAnsi"/>
                <w:noProof/>
                <w:color w:val="000000"/>
                <w:sz w:val="20"/>
                <w:szCs w:val="20"/>
              </w:rPr>
              <w:drawing>
                <wp:anchor distT="0" distB="0" distL="114300" distR="114300" simplePos="0" relativeHeight="251664384" behindDoc="0" locked="0" layoutInCell="1" allowOverlap="1" wp14:anchorId="266530CB" wp14:editId="130DA1A8">
                  <wp:simplePos x="0" y="0"/>
                  <wp:positionH relativeFrom="column">
                    <wp:posOffset>115570</wp:posOffset>
                  </wp:positionH>
                  <wp:positionV relativeFrom="paragraph">
                    <wp:posOffset>-33655</wp:posOffset>
                  </wp:positionV>
                  <wp:extent cx="4389120" cy="3800475"/>
                  <wp:effectExtent l="0" t="0" r="0" b="9525"/>
                  <wp:wrapNone/>
                  <wp:docPr id="2117520901" name="Imagen 7" descr="Diagrama&#10;&#10;El contenido generado por IA puede ser incorrecto.">
                    <a:extLst xmlns:a="http://schemas.openxmlformats.org/drawingml/2006/main">
                      <a:ext uri="{FF2B5EF4-FFF2-40B4-BE49-F238E27FC236}">
                        <a16:creationId xmlns:a16="http://schemas.microsoft.com/office/drawing/2014/main" id="{625B10A8-F6AA-4005-AB73-5CD216671FE8}"/>
                      </a:ext>
                    </a:extLst>
                  </wp:docPr>
                  <wp:cNvGraphicFramePr/>
                  <a:graphic xmlns:a="http://schemas.openxmlformats.org/drawingml/2006/main">
                    <a:graphicData uri="http://schemas.openxmlformats.org/drawingml/2006/picture">
                      <pic:pic xmlns:pic="http://schemas.openxmlformats.org/drawingml/2006/picture">
                        <pic:nvPicPr>
                          <pic:cNvPr id="2117520901" name="Imagen 7" descr="Diagrama&#10;&#10;El contenido generado por IA puede ser incorrecto.">
                            <a:extLst>
                              <a:ext uri="{FF2B5EF4-FFF2-40B4-BE49-F238E27FC236}">
                                <a16:creationId xmlns:a16="http://schemas.microsoft.com/office/drawing/2014/main" id="{625B10A8-F6AA-4005-AB73-5CD216671FE8}"/>
                              </a:ext>
                            </a:extLst>
                          </pic:cNvPr>
                          <pic:cNvPicPr>
                            <a:picLocks noChangeAspect="1"/>
                          </pic:cNvPicPr>
                        </pic:nvPicPr>
                        <pic:blipFill>
                          <a:blip r:embed="rId20"/>
                          <a:stretch>
                            <a:fillRect/>
                          </a:stretch>
                        </pic:blipFill>
                        <pic:spPr>
                          <a:xfrm>
                            <a:off x="0" y="0"/>
                            <a:ext cx="4389120" cy="3800475"/>
                          </a:xfrm>
                          <a:prstGeom prst="rect">
                            <a:avLst/>
                          </a:prstGeom>
                        </pic:spPr>
                      </pic:pic>
                    </a:graphicData>
                  </a:graphic>
                  <wp14:sizeRelH relativeFrom="page">
                    <wp14:pctWidth>0</wp14:pctWidth>
                  </wp14:sizeRelH>
                  <wp14:sizeRelV relativeFrom="page">
                    <wp14:pctHeight>0</wp14:pctHeight>
                  </wp14:sizeRelV>
                </wp:anchor>
              </w:drawing>
            </w:r>
            <w:r w:rsidRPr="00160081">
              <w:rPr>
                <w:rFonts w:cstheme="minorHAnsi"/>
                <w:noProof/>
                <w:color w:val="000000"/>
                <w:sz w:val="20"/>
                <w:szCs w:val="20"/>
              </w:rPr>
              <w:drawing>
                <wp:anchor distT="0" distB="0" distL="114300" distR="114300" simplePos="0" relativeHeight="251663360" behindDoc="0" locked="0" layoutInCell="1" allowOverlap="1" wp14:anchorId="0CFF6F91" wp14:editId="3E67D6BB">
                  <wp:simplePos x="0" y="0"/>
                  <wp:positionH relativeFrom="column">
                    <wp:posOffset>0</wp:posOffset>
                  </wp:positionH>
                  <wp:positionV relativeFrom="paragraph">
                    <wp:posOffset>57150</wp:posOffset>
                  </wp:positionV>
                  <wp:extent cx="4086225" cy="3619500"/>
                  <wp:effectExtent l="0" t="0" r="0" b="0"/>
                  <wp:wrapNone/>
                  <wp:docPr id="774036" name="Imagen 8" descr="Diagrama&#10;&#10;El contenido generado por IA puede ser incorrecto.">
                    <a:extLst xmlns:a="http://schemas.openxmlformats.org/drawingml/2006/main">
                      <a:ext uri="{FF2B5EF4-FFF2-40B4-BE49-F238E27FC236}">
                        <a16:creationId xmlns:a16="http://schemas.microsoft.com/office/drawing/2014/main" id="{EFE6C77D-A826-4D83-A0D7-7256FF028383}"/>
                      </a:ext>
                    </a:extLst>
                  </wp:docPr>
                  <wp:cNvGraphicFramePr/>
                  <a:graphic xmlns:a="http://schemas.openxmlformats.org/drawingml/2006/main">
                    <a:graphicData uri="http://schemas.openxmlformats.org/drawingml/2006/picture">
                      <pic:pic xmlns:pic="http://schemas.openxmlformats.org/drawingml/2006/picture">
                        <pic:nvPicPr>
                          <pic:cNvPr id="774036" name="Imagen 8" descr="Diagrama&#10;&#10;El contenido generado por IA puede ser incorrecto.">
                            <a:extLst>
                              <a:ext uri="{FF2B5EF4-FFF2-40B4-BE49-F238E27FC236}">
                                <a16:creationId xmlns:a16="http://schemas.microsoft.com/office/drawing/2014/main" id="{EFE6C77D-A826-4D83-A0D7-7256FF028383}"/>
                              </a:ext>
                            </a:extLst>
                          </pic:cNvPr>
                          <pic:cNvPicPr>
                            <a:picLocks noChangeAspect="1"/>
                          </pic:cNvPicPr>
                        </pic:nvPicPr>
                        <pic:blipFill>
                          <a:blip r:embed="rId19"/>
                          <a:stretch>
                            <a:fillRect/>
                          </a:stretch>
                        </pic:blipFill>
                        <pic:spPr>
                          <a:xfrm>
                            <a:off x="0" y="0"/>
                            <a:ext cx="4088658" cy="3627120"/>
                          </a:xfrm>
                          <a:prstGeom prst="rect">
                            <a:avLst/>
                          </a:prstGeom>
                        </pic:spPr>
                      </pic:pic>
                    </a:graphicData>
                  </a:graphic>
                  <wp14:sizeRelH relativeFrom="page">
                    <wp14:pctWidth>0</wp14:pctWidth>
                  </wp14:sizeRelH>
                  <wp14:sizeRelV relativeFrom="page">
                    <wp14:pctHeight>0</wp14:pctHeight>
                  </wp14:sizeRelV>
                </wp:anchor>
              </w:drawing>
            </w:r>
          </w:p>
        </w:tc>
      </w:tr>
      <w:tr w:rsidR="00160081" w:rsidRPr="00160081" w14:paraId="30C29E47" w14:textId="77777777" w:rsidTr="00BD3D91">
        <w:trPr>
          <w:trHeight w:val="281"/>
        </w:trPr>
        <w:tc>
          <w:tcPr>
            <w:tcW w:w="2263" w:type="dxa"/>
            <w:shd w:val="clear" w:color="000000" w:fill="D9D9D9"/>
            <w:vAlign w:val="center"/>
            <w:hideMark/>
          </w:tcPr>
          <w:p w14:paraId="6F5DFB0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279" w:type="dxa"/>
            <w:vAlign w:val="center"/>
            <w:hideMark/>
          </w:tcPr>
          <w:p w14:paraId="0374BE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Reglas de negocio para gestión de riesgos tributarios </w:t>
            </w:r>
          </w:p>
        </w:tc>
      </w:tr>
      <w:tr w:rsidR="00160081" w:rsidRPr="00160081" w14:paraId="37D948AC" w14:textId="77777777" w:rsidTr="00BD3D91">
        <w:trPr>
          <w:trHeight w:val="621"/>
        </w:trPr>
        <w:tc>
          <w:tcPr>
            <w:tcW w:w="2263" w:type="dxa"/>
            <w:shd w:val="clear" w:color="000000" w:fill="D9D9D9"/>
            <w:vAlign w:val="center"/>
            <w:hideMark/>
          </w:tcPr>
          <w:p w14:paraId="353ED79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279" w:type="dxa"/>
            <w:vAlign w:val="center"/>
            <w:hideMark/>
          </w:tcPr>
          <w:p w14:paraId="46E0C45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 Catálogos y catastros</w:t>
            </w:r>
            <w:r w:rsidRPr="00160081">
              <w:rPr>
                <w:rFonts w:cstheme="minorHAnsi"/>
                <w:color w:val="000000"/>
                <w:sz w:val="20"/>
                <w:szCs w:val="20"/>
              </w:rPr>
              <w:br/>
              <w:t>Bases de datos internas y externas</w:t>
            </w:r>
            <w:r w:rsidRPr="00160081">
              <w:rPr>
                <w:rFonts w:cstheme="minorHAnsi"/>
                <w:color w:val="000000"/>
                <w:sz w:val="20"/>
                <w:szCs w:val="20"/>
              </w:rPr>
              <w:br/>
              <w:t xml:space="preserve">Data </w:t>
            </w:r>
            <w:proofErr w:type="spellStart"/>
            <w:r w:rsidRPr="00160081">
              <w:rPr>
                <w:rFonts w:cstheme="minorHAnsi"/>
                <w:color w:val="000000"/>
                <w:sz w:val="20"/>
                <w:szCs w:val="20"/>
              </w:rPr>
              <w:t>Fabric</w:t>
            </w:r>
            <w:proofErr w:type="spellEnd"/>
          </w:p>
        </w:tc>
      </w:tr>
      <w:tr w:rsidR="00160081" w:rsidRPr="00160081" w14:paraId="298B960C" w14:textId="77777777" w:rsidTr="00221BF3">
        <w:trPr>
          <w:trHeight w:val="457"/>
        </w:trPr>
        <w:tc>
          <w:tcPr>
            <w:tcW w:w="2263" w:type="dxa"/>
            <w:shd w:val="clear" w:color="000000" w:fill="D9D9D9"/>
            <w:vAlign w:val="center"/>
            <w:hideMark/>
          </w:tcPr>
          <w:p w14:paraId="25C5CD1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279" w:type="dxa"/>
            <w:vAlign w:val="center"/>
            <w:hideMark/>
          </w:tcPr>
          <w:p w14:paraId="305AE18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w:t>
            </w:r>
          </w:p>
        </w:tc>
      </w:tr>
      <w:tr w:rsidR="00160081" w:rsidRPr="00160081" w14:paraId="698E17EE" w14:textId="77777777" w:rsidTr="00BD3D91">
        <w:trPr>
          <w:trHeight w:val="940"/>
        </w:trPr>
        <w:tc>
          <w:tcPr>
            <w:tcW w:w="2263" w:type="dxa"/>
            <w:shd w:val="clear" w:color="000000" w:fill="D9D9D9"/>
            <w:vAlign w:val="center"/>
            <w:hideMark/>
          </w:tcPr>
          <w:p w14:paraId="6B080A3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279" w:type="dxa"/>
            <w:vAlign w:val="center"/>
            <w:hideMark/>
          </w:tcPr>
          <w:p w14:paraId="2E7C17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Alto volumen mensual, especialmente en periodos de declaración y en alineación a programación de acciones de tratamiento</w:t>
            </w:r>
          </w:p>
        </w:tc>
      </w:tr>
      <w:tr w:rsidR="00160081" w:rsidRPr="00160081" w14:paraId="5CD48BE3" w14:textId="77777777" w:rsidTr="00221BF3">
        <w:trPr>
          <w:trHeight w:val="509"/>
        </w:trPr>
        <w:tc>
          <w:tcPr>
            <w:tcW w:w="2263" w:type="dxa"/>
            <w:shd w:val="clear" w:color="000000" w:fill="D9D9D9"/>
            <w:vAlign w:val="center"/>
            <w:hideMark/>
          </w:tcPr>
          <w:p w14:paraId="0B38F21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279" w:type="dxa"/>
            <w:vAlign w:val="center"/>
            <w:hideMark/>
          </w:tcPr>
          <w:p w14:paraId="22ACDE3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Código Tributario, Leyes y reglamentos (reformas) correspondientes, Resoluciones, circulares y memos internos SRI.</w:t>
            </w:r>
          </w:p>
        </w:tc>
      </w:tr>
      <w:tr w:rsidR="00160081" w:rsidRPr="00160081" w14:paraId="5498D4CE" w14:textId="77777777" w:rsidTr="00BD3D91">
        <w:trPr>
          <w:trHeight w:val="82"/>
        </w:trPr>
        <w:tc>
          <w:tcPr>
            <w:tcW w:w="2263" w:type="dxa"/>
            <w:shd w:val="clear" w:color="000000" w:fill="D9D9D9"/>
            <w:vAlign w:val="center"/>
            <w:hideMark/>
          </w:tcPr>
          <w:p w14:paraId="610762F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279" w:type="dxa"/>
            <w:vAlign w:val="center"/>
            <w:hideMark/>
          </w:tcPr>
          <w:p w14:paraId="736DC12D"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Reducción y mitigación de riesgos tributarios para cierre de brechas</w:t>
            </w:r>
          </w:p>
        </w:tc>
      </w:tr>
      <w:tr w:rsidR="00160081" w:rsidRPr="00160081" w14:paraId="3F58E4FF" w14:textId="77777777" w:rsidTr="00BD3D91">
        <w:trPr>
          <w:trHeight w:val="82"/>
        </w:trPr>
        <w:tc>
          <w:tcPr>
            <w:tcW w:w="2263" w:type="dxa"/>
            <w:shd w:val="clear" w:color="000000" w:fill="D9D9D9"/>
            <w:vAlign w:val="center"/>
            <w:hideMark/>
          </w:tcPr>
          <w:p w14:paraId="0628CD9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279" w:type="dxa"/>
            <w:vAlign w:val="center"/>
            <w:hideMark/>
          </w:tcPr>
          <w:p w14:paraId="6664AD4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para recaudación forzosa</w:t>
            </w:r>
          </w:p>
        </w:tc>
      </w:tr>
    </w:tbl>
    <w:p w14:paraId="099E1455" w14:textId="77777777" w:rsidR="00160081" w:rsidRPr="00160081" w:rsidRDefault="00160081" w:rsidP="00160081">
      <w:pPr>
        <w:ind w:left="720"/>
        <w:jc w:val="both"/>
        <w:rPr>
          <w:rFonts w:cstheme="minorHAnsi"/>
          <w:sz w:val="20"/>
          <w:szCs w:val="20"/>
        </w:rPr>
      </w:pPr>
    </w:p>
    <w:tbl>
      <w:tblPr>
        <w:tblW w:w="9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67"/>
        <w:gridCol w:w="7468"/>
      </w:tblGrid>
      <w:tr w:rsidR="00160081" w:rsidRPr="00160081" w14:paraId="3CD7B338" w14:textId="77777777" w:rsidTr="00BD3D91">
        <w:trPr>
          <w:trHeight w:val="82"/>
        </w:trPr>
        <w:tc>
          <w:tcPr>
            <w:tcW w:w="1967" w:type="dxa"/>
            <w:shd w:val="clear" w:color="000000" w:fill="D9D9D9"/>
            <w:vAlign w:val="center"/>
            <w:hideMark/>
          </w:tcPr>
          <w:p w14:paraId="107EBE06" w14:textId="77777777" w:rsidR="00160081" w:rsidRPr="00160081" w:rsidRDefault="00160081" w:rsidP="00BD3D91">
            <w:pPr>
              <w:jc w:val="center"/>
              <w:rPr>
                <w:rFonts w:cstheme="minorHAnsi"/>
                <w:b/>
                <w:bCs/>
                <w:color w:val="000000"/>
                <w:sz w:val="20"/>
                <w:szCs w:val="20"/>
              </w:rPr>
            </w:pPr>
            <w:bookmarkStart w:id="65" w:name="OLE_LINK89"/>
            <w:r w:rsidRPr="00160081">
              <w:rPr>
                <w:rFonts w:cstheme="minorHAnsi"/>
                <w:b/>
                <w:bCs/>
                <w:color w:val="000000"/>
                <w:sz w:val="20"/>
                <w:szCs w:val="20"/>
              </w:rPr>
              <w:t>Código</w:t>
            </w:r>
          </w:p>
        </w:tc>
        <w:tc>
          <w:tcPr>
            <w:tcW w:w="7468" w:type="dxa"/>
            <w:vAlign w:val="center"/>
            <w:hideMark/>
          </w:tcPr>
          <w:p w14:paraId="694CA80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CU-04</w:t>
            </w:r>
          </w:p>
        </w:tc>
      </w:tr>
      <w:tr w:rsidR="00160081" w:rsidRPr="00160081" w14:paraId="5B7D782E" w14:textId="77777777" w:rsidTr="00BD3D91">
        <w:trPr>
          <w:trHeight w:val="452"/>
        </w:trPr>
        <w:tc>
          <w:tcPr>
            <w:tcW w:w="1967" w:type="dxa"/>
            <w:shd w:val="clear" w:color="000000" w:fill="D9D9D9"/>
            <w:vAlign w:val="center"/>
            <w:hideMark/>
          </w:tcPr>
          <w:p w14:paraId="3A03438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468" w:type="dxa"/>
            <w:vAlign w:val="center"/>
            <w:hideMark/>
          </w:tcPr>
          <w:p w14:paraId="2A42B09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Gestión de Riesgos Tributarios- IVA</w:t>
            </w:r>
          </w:p>
        </w:tc>
      </w:tr>
      <w:tr w:rsidR="00160081" w:rsidRPr="00160081" w14:paraId="3559C5A7" w14:textId="77777777" w:rsidTr="00BD3D91">
        <w:trPr>
          <w:trHeight w:val="416"/>
        </w:trPr>
        <w:tc>
          <w:tcPr>
            <w:tcW w:w="1967" w:type="dxa"/>
            <w:shd w:val="clear" w:color="000000" w:fill="D9D9D9"/>
            <w:vAlign w:val="center"/>
            <w:hideMark/>
          </w:tcPr>
          <w:p w14:paraId="7778690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468" w:type="dxa"/>
            <w:vAlign w:val="center"/>
            <w:hideMark/>
          </w:tcPr>
          <w:p w14:paraId="616330F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Aplicar las etapas del Modelo de Gestión de Control Tributario -MGCT para la gestión de riesgos tributarios de los impuestos seleccionados (Identificación RT, Priorización RT, Programación de Estrategias de Tratamiento y Evaluación RT)</w:t>
            </w:r>
          </w:p>
        </w:tc>
      </w:tr>
      <w:tr w:rsidR="00160081" w:rsidRPr="00160081" w14:paraId="56207FA2" w14:textId="77777777" w:rsidTr="00BD3D91">
        <w:trPr>
          <w:trHeight w:val="1266"/>
        </w:trPr>
        <w:tc>
          <w:tcPr>
            <w:tcW w:w="1967" w:type="dxa"/>
            <w:shd w:val="clear" w:color="000000" w:fill="D9D9D9"/>
            <w:vAlign w:val="center"/>
            <w:hideMark/>
          </w:tcPr>
          <w:p w14:paraId="5000564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468" w:type="dxa"/>
            <w:vAlign w:val="center"/>
            <w:hideMark/>
          </w:tcPr>
          <w:p w14:paraId="37FBE8D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Proceso que inicia desde la integración con los diferentes sistemas y aplicativos institucionales, principalmente el Data </w:t>
            </w:r>
            <w:proofErr w:type="spellStart"/>
            <w:r w:rsidRPr="00160081">
              <w:rPr>
                <w:rFonts w:cstheme="minorHAnsi"/>
                <w:color w:val="000000"/>
                <w:sz w:val="20"/>
                <w:szCs w:val="20"/>
              </w:rPr>
              <w:t>Fabric</w:t>
            </w:r>
            <w:proofErr w:type="spellEnd"/>
            <w:r w:rsidRPr="00160081">
              <w:rPr>
                <w:rFonts w:cstheme="minorHAnsi"/>
                <w:color w:val="000000"/>
                <w:sz w:val="20"/>
                <w:szCs w:val="20"/>
              </w:rPr>
              <w:t xml:space="preserve"> para procesar las fuentes de información y arrancar con la etapa de  </w:t>
            </w:r>
            <w:proofErr w:type="spellStart"/>
            <w:r w:rsidRPr="00160081">
              <w:rPr>
                <w:rFonts w:cstheme="minorHAnsi"/>
                <w:color w:val="000000"/>
                <w:sz w:val="20"/>
                <w:szCs w:val="20"/>
              </w:rPr>
              <w:t>indentificación</w:t>
            </w:r>
            <w:proofErr w:type="spellEnd"/>
            <w:r w:rsidRPr="00160081">
              <w:rPr>
                <w:rFonts w:cstheme="minorHAnsi"/>
                <w:color w:val="000000"/>
                <w:sz w:val="20"/>
                <w:szCs w:val="20"/>
              </w:rPr>
              <w:t xml:space="preserve"> del riesgo, generación de la propuesta de priorización, programación de estrategias de tratamiento y despacho de casos con base a la capacidad operativa de las unidades hacia los procesos automatizados (Control de Veracidad y Gestión de Sanciones), y finalmente recibiendo de estos los resultados para la etapa de evaluación de los resultados e impacto de riesgos tributarios</w:t>
            </w:r>
          </w:p>
        </w:tc>
      </w:tr>
      <w:tr w:rsidR="00160081" w:rsidRPr="00160081" w14:paraId="407BA352" w14:textId="77777777" w:rsidTr="00BD3D91">
        <w:trPr>
          <w:trHeight w:val="375"/>
        </w:trPr>
        <w:tc>
          <w:tcPr>
            <w:tcW w:w="1967" w:type="dxa"/>
            <w:shd w:val="clear" w:color="000000" w:fill="D9D9D9"/>
            <w:vAlign w:val="center"/>
            <w:hideMark/>
          </w:tcPr>
          <w:p w14:paraId="37CD498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468" w:type="dxa"/>
            <w:vAlign w:val="center"/>
            <w:hideMark/>
          </w:tcPr>
          <w:p w14:paraId="598AE4E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Ficha de identificación de riesgos</w:t>
            </w:r>
            <w:r w:rsidRPr="00160081">
              <w:rPr>
                <w:rFonts w:cstheme="minorHAnsi"/>
                <w:color w:val="000000"/>
                <w:sz w:val="20"/>
                <w:szCs w:val="20"/>
              </w:rPr>
              <w:br/>
              <w:t>Matriz de riesgos y causas</w:t>
            </w:r>
            <w:r w:rsidRPr="00160081">
              <w:rPr>
                <w:rFonts w:cstheme="minorHAnsi"/>
                <w:color w:val="000000"/>
                <w:sz w:val="20"/>
                <w:szCs w:val="20"/>
              </w:rPr>
              <w:br/>
              <w:t>Plan de Gestión de Cumplimiento Tributario - PGCT</w:t>
            </w:r>
            <w:r w:rsidRPr="00160081">
              <w:rPr>
                <w:rFonts w:cstheme="minorHAnsi"/>
                <w:color w:val="000000"/>
                <w:sz w:val="20"/>
                <w:szCs w:val="20"/>
              </w:rPr>
              <w:br/>
              <w:t>Política de Tratamientos</w:t>
            </w:r>
            <w:r w:rsidRPr="00160081">
              <w:rPr>
                <w:rFonts w:cstheme="minorHAnsi"/>
                <w:color w:val="000000"/>
                <w:sz w:val="20"/>
                <w:szCs w:val="20"/>
              </w:rPr>
              <w:br/>
              <w:t xml:space="preserve">Resultados de modelos de Data </w:t>
            </w:r>
            <w:proofErr w:type="spellStart"/>
            <w:r w:rsidRPr="00160081">
              <w:rPr>
                <w:rFonts w:cstheme="minorHAnsi"/>
                <w:color w:val="000000"/>
                <w:sz w:val="20"/>
                <w:szCs w:val="20"/>
              </w:rPr>
              <w:t>Fabric</w:t>
            </w:r>
            <w:proofErr w:type="spellEnd"/>
          </w:p>
        </w:tc>
      </w:tr>
      <w:tr w:rsidR="00160081" w:rsidRPr="00160081" w14:paraId="468FFE92" w14:textId="77777777" w:rsidTr="00BD3D91">
        <w:trPr>
          <w:trHeight w:val="1254"/>
        </w:trPr>
        <w:tc>
          <w:tcPr>
            <w:tcW w:w="1967" w:type="dxa"/>
            <w:shd w:val="clear" w:color="000000" w:fill="D9D9D9"/>
            <w:vAlign w:val="center"/>
            <w:hideMark/>
          </w:tcPr>
          <w:p w14:paraId="623545D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468" w:type="dxa"/>
            <w:vAlign w:val="center"/>
            <w:hideMark/>
          </w:tcPr>
          <w:p w14:paraId="30C667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Propuesta de riesgos priorizados (Mapas, radares, </w:t>
            </w:r>
            <w:proofErr w:type="spellStart"/>
            <w:r w:rsidRPr="00160081">
              <w:rPr>
                <w:rFonts w:cstheme="minorHAnsi"/>
                <w:color w:val="000000"/>
                <w:sz w:val="20"/>
                <w:szCs w:val="20"/>
              </w:rPr>
              <w:t>dashboard</w:t>
            </w:r>
            <w:proofErr w:type="spellEnd"/>
            <w:r w:rsidRPr="00160081">
              <w:rPr>
                <w:rFonts w:cstheme="minorHAnsi"/>
                <w:color w:val="000000"/>
                <w:sz w:val="20"/>
                <w:szCs w:val="20"/>
              </w:rPr>
              <w:t>, etc.)</w:t>
            </w:r>
            <w:r w:rsidRPr="00160081">
              <w:rPr>
                <w:rFonts w:cstheme="minorHAnsi"/>
                <w:color w:val="000000"/>
                <w:sz w:val="20"/>
                <w:szCs w:val="20"/>
              </w:rPr>
              <w:br/>
              <w:t>Catálogo de riesgos tributarios</w:t>
            </w:r>
            <w:r w:rsidRPr="00160081">
              <w:rPr>
                <w:rFonts w:cstheme="minorHAnsi"/>
                <w:color w:val="000000"/>
                <w:sz w:val="20"/>
                <w:szCs w:val="20"/>
              </w:rPr>
              <w:br/>
              <w:t>Programación de estrategias de tratamiento</w:t>
            </w:r>
            <w:r w:rsidRPr="00160081">
              <w:rPr>
                <w:rFonts w:cstheme="minorHAnsi"/>
                <w:color w:val="000000"/>
                <w:sz w:val="20"/>
                <w:szCs w:val="20"/>
              </w:rPr>
              <w:br/>
              <w:t xml:space="preserve">Reporte y </w:t>
            </w:r>
            <w:proofErr w:type="spellStart"/>
            <w:r w:rsidRPr="00160081">
              <w:rPr>
                <w:rFonts w:cstheme="minorHAnsi"/>
                <w:color w:val="000000"/>
                <w:sz w:val="20"/>
                <w:szCs w:val="20"/>
              </w:rPr>
              <w:t>dashboard</w:t>
            </w:r>
            <w:proofErr w:type="spellEnd"/>
            <w:r w:rsidRPr="00160081">
              <w:rPr>
                <w:rFonts w:cstheme="minorHAnsi"/>
                <w:color w:val="000000"/>
                <w:sz w:val="20"/>
                <w:szCs w:val="20"/>
              </w:rPr>
              <w:t xml:space="preserve"> de evaluación </w:t>
            </w:r>
          </w:p>
        </w:tc>
      </w:tr>
      <w:tr w:rsidR="00160081" w:rsidRPr="00160081" w14:paraId="1B16B2F9" w14:textId="77777777" w:rsidTr="00BD3D91">
        <w:trPr>
          <w:trHeight w:val="610"/>
        </w:trPr>
        <w:tc>
          <w:tcPr>
            <w:tcW w:w="1967" w:type="dxa"/>
            <w:shd w:val="clear" w:color="000000" w:fill="D9D9D9"/>
            <w:vAlign w:val="center"/>
            <w:hideMark/>
          </w:tcPr>
          <w:p w14:paraId="1D26009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468" w:type="dxa"/>
            <w:vAlign w:val="center"/>
            <w:hideMark/>
          </w:tcPr>
          <w:p w14:paraId="55F109E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Jefatura departamental, Coordinador,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del Impuesto, usuario administrador</w:t>
            </w:r>
          </w:p>
        </w:tc>
      </w:tr>
      <w:tr w:rsidR="00160081" w:rsidRPr="00160081" w14:paraId="5A84F5AE" w14:textId="77777777" w:rsidTr="00BD3D91">
        <w:trPr>
          <w:trHeight w:val="6234"/>
        </w:trPr>
        <w:tc>
          <w:tcPr>
            <w:tcW w:w="1967" w:type="dxa"/>
            <w:shd w:val="clear" w:color="000000" w:fill="D9D9D9"/>
            <w:vAlign w:val="center"/>
            <w:hideMark/>
          </w:tcPr>
          <w:p w14:paraId="50DCC72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468" w:type="dxa"/>
            <w:vAlign w:val="center"/>
            <w:hideMark/>
          </w:tcPr>
          <w:p w14:paraId="40D22FEA" w14:textId="77777777" w:rsidR="00160081" w:rsidRPr="00160081" w:rsidRDefault="00160081" w:rsidP="00BD3D91">
            <w:pPr>
              <w:rPr>
                <w:rFonts w:cstheme="minorHAnsi"/>
                <w:color w:val="000000"/>
                <w:sz w:val="20"/>
                <w:szCs w:val="20"/>
              </w:rPr>
            </w:pPr>
            <w:r w:rsidRPr="00160081">
              <w:rPr>
                <w:rFonts w:cstheme="minorHAnsi"/>
                <w:noProof/>
                <w:color w:val="000000"/>
                <w:sz w:val="20"/>
                <w:szCs w:val="20"/>
              </w:rPr>
              <w:drawing>
                <wp:anchor distT="0" distB="0" distL="114300" distR="114300" simplePos="0" relativeHeight="251662336" behindDoc="0" locked="0" layoutInCell="1" allowOverlap="1" wp14:anchorId="30A5A198" wp14:editId="5D352001">
                  <wp:simplePos x="0" y="0"/>
                  <wp:positionH relativeFrom="column">
                    <wp:posOffset>38735</wp:posOffset>
                  </wp:positionH>
                  <wp:positionV relativeFrom="paragraph">
                    <wp:posOffset>3810</wp:posOffset>
                  </wp:positionV>
                  <wp:extent cx="4491990" cy="3697605"/>
                  <wp:effectExtent l="0" t="0" r="3810" b="0"/>
                  <wp:wrapNone/>
                  <wp:docPr id="1463601865" name="Imagen 4" descr="Diagrama&#10;&#10;El contenido generado por IA puede ser incorrecto.">
                    <a:extLst xmlns:a="http://schemas.openxmlformats.org/drawingml/2006/main">
                      <a:ext uri="{FF2B5EF4-FFF2-40B4-BE49-F238E27FC236}">
                        <a16:creationId xmlns:a16="http://schemas.microsoft.com/office/drawing/2014/main" id="{76CAD959-4871-F240-9378-5509AFF701D6}"/>
                      </a:ext>
                    </a:extLst>
                  </wp:docPr>
                  <wp:cNvGraphicFramePr/>
                  <a:graphic xmlns:a="http://schemas.openxmlformats.org/drawingml/2006/main">
                    <a:graphicData uri="http://schemas.openxmlformats.org/drawingml/2006/picture">
                      <pic:pic xmlns:pic="http://schemas.openxmlformats.org/drawingml/2006/picture">
                        <pic:nvPicPr>
                          <pic:cNvPr id="1463601865" name="Imagen 4" descr="Diagrama&#10;&#10;El contenido generado por IA puede ser incorrecto.">
                            <a:extLst>
                              <a:ext uri="{FF2B5EF4-FFF2-40B4-BE49-F238E27FC236}">
                                <a16:creationId xmlns:a16="http://schemas.microsoft.com/office/drawing/2014/main" id="{76CAD959-4871-F240-9378-5509AFF701D6}"/>
                              </a:ext>
                            </a:extLst>
                          </pic:cNvPr>
                          <pic:cNvPicPr>
                            <a:picLocks noChangeAspect="1"/>
                          </pic:cNvPicPr>
                        </pic:nvPicPr>
                        <pic:blipFill>
                          <a:blip r:embed="rId20"/>
                          <a:stretch>
                            <a:fillRect/>
                          </a:stretch>
                        </pic:blipFill>
                        <pic:spPr>
                          <a:xfrm>
                            <a:off x="0" y="0"/>
                            <a:ext cx="4491990" cy="3697605"/>
                          </a:xfrm>
                          <a:prstGeom prst="rect">
                            <a:avLst/>
                          </a:prstGeom>
                        </pic:spPr>
                      </pic:pic>
                    </a:graphicData>
                  </a:graphic>
                  <wp14:sizeRelH relativeFrom="page">
                    <wp14:pctWidth>0</wp14:pctWidth>
                  </wp14:sizeRelH>
                  <wp14:sizeRelV relativeFrom="page">
                    <wp14:pctHeight>0</wp14:pctHeight>
                  </wp14:sizeRelV>
                </wp:anchor>
              </w:drawing>
            </w:r>
          </w:p>
        </w:tc>
      </w:tr>
      <w:tr w:rsidR="00160081" w:rsidRPr="00160081" w14:paraId="7F7492BC" w14:textId="77777777" w:rsidTr="00BD3D91">
        <w:trPr>
          <w:trHeight w:val="281"/>
        </w:trPr>
        <w:tc>
          <w:tcPr>
            <w:tcW w:w="1967" w:type="dxa"/>
            <w:shd w:val="clear" w:color="000000" w:fill="D9D9D9"/>
            <w:vAlign w:val="center"/>
            <w:hideMark/>
          </w:tcPr>
          <w:p w14:paraId="39D1ED9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468" w:type="dxa"/>
            <w:vAlign w:val="center"/>
            <w:hideMark/>
          </w:tcPr>
          <w:p w14:paraId="4594FB2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Reglas de negocio para gestión de riesgos tributarios </w:t>
            </w:r>
          </w:p>
        </w:tc>
      </w:tr>
      <w:tr w:rsidR="00160081" w:rsidRPr="00160081" w14:paraId="76FD1157" w14:textId="77777777" w:rsidTr="00BD3D91">
        <w:trPr>
          <w:trHeight w:val="762"/>
        </w:trPr>
        <w:tc>
          <w:tcPr>
            <w:tcW w:w="1967" w:type="dxa"/>
            <w:shd w:val="clear" w:color="000000" w:fill="D9D9D9"/>
            <w:vAlign w:val="center"/>
            <w:hideMark/>
          </w:tcPr>
          <w:p w14:paraId="362E28A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468" w:type="dxa"/>
            <w:vAlign w:val="center"/>
            <w:hideMark/>
          </w:tcPr>
          <w:p w14:paraId="23D9D64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Catálogos y catastros</w:t>
            </w:r>
            <w:r w:rsidRPr="00160081">
              <w:rPr>
                <w:rFonts w:cstheme="minorHAnsi"/>
                <w:color w:val="000000"/>
                <w:sz w:val="20"/>
                <w:szCs w:val="20"/>
              </w:rPr>
              <w:br/>
              <w:t>Bases de datos internas y externas</w:t>
            </w:r>
            <w:r w:rsidRPr="00160081">
              <w:rPr>
                <w:rFonts w:cstheme="minorHAnsi"/>
                <w:color w:val="000000"/>
                <w:sz w:val="20"/>
                <w:szCs w:val="20"/>
              </w:rPr>
              <w:br/>
              <w:t xml:space="preserve">Data </w:t>
            </w:r>
            <w:proofErr w:type="spellStart"/>
            <w:r w:rsidRPr="00160081">
              <w:rPr>
                <w:rFonts w:cstheme="minorHAnsi"/>
                <w:color w:val="000000"/>
                <w:sz w:val="20"/>
                <w:szCs w:val="20"/>
              </w:rPr>
              <w:t>Fabric</w:t>
            </w:r>
            <w:proofErr w:type="spellEnd"/>
          </w:p>
        </w:tc>
      </w:tr>
      <w:tr w:rsidR="00160081" w:rsidRPr="00160081" w14:paraId="3C889E6C" w14:textId="77777777" w:rsidTr="00BD3D91">
        <w:trPr>
          <w:trHeight w:val="670"/>
        </w:trPr>
        <w:tc>
          <w:tcPr>
            <w:tcW w:w="1967" w:type="dxa"/>
            <w:shd w:val="clear" w:color="000000" w:fill="D9D9D9"/>
            <w:vAlign w:val="center"/>
            <w:hideMark/>
          </w:tcPr>
          <w:p w14:paraId="658F2A5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468" w:type="dxa"/>
            <w:vAlign w:val="center"/>
            <w:hideMark/>
          </w:tcPr>
          <w:p w14:paraId="40594A6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w:t>
            </w:r>
          </w:p>
        </w:tc>
      </w:tr>
      <w:tr w:rsidR="00160081" w:rsidRPr="00160081" w14:paraId="73352B8A" w14:textId="77777777" w:rsidTr="00221BF3">
        <w:trPr>
          <w:trHeight w:val="751"/>
        </w:trPr>
        <w:tc>
          <w:tcPr>
            <w:tcW w:w="1967" w:type="dxa"/>
            <w:shd w:val="clear" w:color="000000" w:fill="D9D9D9"/>
            <w:vAlign w:val="center"/>
            <w:hideMark/>
          </w:tcPr>
          <w:p w14:paraId="60326DD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468" w:type="dxa"/>
            <w:vAlign w:val="center"/>
            <w:hideMark/>
          </w:tcPr>
          <w:p w14:paraId="09ADFF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Alto volumen mensual, especialmente en periodos de declaración y en alineación a programación de acciones de tratamiento</w:t>
            </w:r>
          </w:p>
        </w:tc>
      </w:tr>
      <w:tr w:rsidR="00160081" w:rsidRPr="00160081" w14:paraId="41248F17" w14:textId="77777777" w:rsidTr="00221BF3">
        <w:trPr>
          <w:trHeight w:val="367"/>
        </w:trPr>
        <w:tc>
          <w:tcPr>
            <w:tcW w:w="1967" w:type="dxa"/>
            <w:shd w:val="clear" w:color="000000" w:fill="D9D9D9"/>
            <w:vAlign w:val="center"/>
            <w:hideMark/>
          </w:tcPr>
          <w:p w14:paraId="59D43BB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468" w:type="dxa"/>
            <w:vAlign w:val="center"/>
            <w:hideMark/>
          </w:tcPr>
          <w:p w14:paraId="3E042C4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Código Tributario, Leyes y reglamentos (reformas) correspondientes, Resoluciones, circulares y memos internos SRI.</w:t>
            </w:r>
          </w:p>
        </w:tc>
      </w:tr>
      <w:tr w:rsidR="00160081" w:rsidRPr="00160081" w14:paraId="60474A9B" w14:textId="77777777" w:rsidTr="00BD3D91">
        <w:trPr>
          <w:trHeight w:val="940"/>
        </w:trPr>
        <w:tc>
          <w:tcPr>
            <w:tcW w:w="1967" w:type="dxa"/>
            <w:shd w:val="clear" w:color="000000" w:fill="D9D9D9"/>
            <w:vAlign w:val="center"/>
            <w:hideMark/>
          </w:tcPr>
          <w:p w14:paraId="32924EA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468" w:type="dxa"/>
            <w:vAlign w:val="center"/>
            <w:hideMark/>
          </w:tcPr>
          <w:p w14:paraId="31DF5832"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Reducción y mitigación de riesgos tributarios para cierre de brechas</w:t>
            </w:r>
          </w:p>
        </w:tc>
      </w:tr>
      <w:tr w:rsidR="00160081" w:rsidRPr="00160081" w14:paraId="7D6F0504" w14:textId="77777777" w:rsidTr="00BD3D91">
        <w:trPr>
          <w:trHeight w:val="472"/>
        </w:trPr>
        <w:tc>
          <w:tcPr>
            <w:tcW w:w="1967" w:type="dxa"/>
            <w:shd w:val="clear" w:color="000000" w:fill="D9D9D9"/>
            <w:vAlign w:val="center"/>
            <w:hideMark/>
          </w:tcPr>
          <w:p w14:paraId="2A06115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468" w:type="dxa"/>
            <w:vAlign w:val="center"/>
            <w:hideMark/>
          </w:tcPr>
          <w:p w14:paraId="45D4528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para recaudación forzosa</w:t>
            </w:r>
          </w:p>
        </w:tc>
      </w:tr>
      <w:bookmarkEnd w:id="65"/>
    </w:tbl>
    <w:p w14:paraId="272073F3" w14:textId="77777777" w:rsidR="00160081" w:rsidRPr="00160081" w:rsidRDefault="00160081" w:rsidP="00160081">
      <w:pPr>
        <w:ind w:left="720"/>
        <w:jc w:val="both"/>
        <w:rPr>
          <w:rFonts w:cstheme="minorHAnsi"/>
          <w:sz w:val="20"/>
          <w:szCs w:val="20"/>
        </w:rPr>
      </w:pPr>
    </w:p>
    <w:tbl>
      <w:tblPr>
        <w:tblW w:w="9516" w:type="dxa"/>
        <w:tblCellMar>
          <w:left w:w="70" w:type="dxa"/>
          <w:right w:w="70" w:type="dxa"/>
        </w:tblCellMar>
        <w:tblLook w:val="04A0" w:firstRow="1" w:lastRow="0" w:firstColumn="1" w:lastColumn="0" w:noHBand="0" w:noVBand="1"/>
      </w:tblPr>
      <w:tblGrid>
        <w:gridCol w:w="1969"/>
        <w:gridCol w:w="7547"/>
      </w:tblGrid>
      <w:tr w:rsidR="00160081" w:rsidRPr="00160081" w14:paraId="3CD7D3EA" w14:textId="77777777" w:rsidTr="00BD3D91">
        <w:trPr>
          <w:trHeight w:val="303"/>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30CF0B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547" w:type="dxa"/>
            <w:tcBorders>
              <w:top w:val="single" w:sz="4" w:space="0" w:color="auto"/>
              <w:left w:val="nil"/>
              <w:bottom w:val="single" w:sz="4" w:space="0" w:color="auto"/>
              <w:right w:val="single" w:sz="4" w:space="0" w:color="auto"/>
            </w:tcBorders>
            <w:shd w:val="clear" w:color="000000" w:fill="FFFFFF"/>
            <w:vAlign w:val="center"/>
            <w:hideMark/>
          </w:tcPr>
          <w:p w14:paraId="427C7D1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CU-05</w:t>
            </w:r>
          </w:p>
        </w:tc>
      </w:tr>
      <w:tr w:rsidR="00160081" w:rsidRPr="00160081" w14:paraId="046148B7" w14:textId="77777777" w:rsidTr="00BD3D91">
        <w:trPr>
          <w:trHeight w:val="421"/>
        </w:trPr>
        <w:tc>
          <w:tcPr>
            <w:tcW w:w="1969" w:type="dxa"/>
            <w:tcBorders>
              <w:top w:val="nil"/>
              <w:left w:val="single" w:sz="4" w:space="0" w:color="auto"/>
              <w:bottom w:val="single" w:sz="4" w:space="0" w:color="auto"/>
              <w:right w:val="single" w:sz="4" w:space="0" w:color="auto"/>
            </w:tcBorders>
            <w:shd w:val="clear" w:color="000000" w:fill="D9D9D9"/>
            <w:vAlign w:val="center"/>
            <w:hideMark/>
          </w:tcPr>
          <w:p w14:paraId="3EE99BD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547" w:type="dxa"/>
            <w:tcBorders>
              <w:top w:val="nil"/>
              <w:left w:val="nil"/>
              <w:bottom w:val="single" w:sz="4" w:space="0" w:color="auto"/>
              <w:right w:val="single" w:sz="4" w:space="0" w:color="auto"/>
            </w:tcBorders>
            <w:vAlign w:val="center"/>
            <w:hideMark/>
          </w:tcPr>
          <w:p w14:paraId="230B524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Control de Veracidad</w:t>
            </w:r>
          </w:p>
        </w:tc>
      </w:tr>
      <w:tr w:rsidR="00160081" w:rsidRPr="00160081" w14:paraId="7A521974" w14:textId="77777777" w:rsidTr="00BD3D91">
        <w:trPr>
          <w:trHeight w:val="1662"/>
        </w:trPr>
        <w:tc>
          <w:tcPr>
            <w:tcW w:w="1969" w:type="dxa"/>
            <w:tcBorders>
              <w:top w:val="nil"/>
              <w:left w:val="single" w:sz="4" w:space="0" w:color="auto"/>
              <w:bottom w:val="single" w:sz="4" w:space="0" w:color="auto"/>
              <w:right w:val="single" w:sz="4" w:space="0" w:color="auto"/>
            </w:tcBorders>
            <w:shd w:val="clear" w:color="000000" w:fill="D9D9D9"/>
            <w:vAlign w:val="center"/>
            <w:hideMark/>
          </w:tcPr>
          <w:p w14:paraId="232F47C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547" w:type="dxa"/>
            <w:tcBorders>
              <w:top w:val="nil"/>
              <w:left w:val="nil"/>
              <w:bottom w:val="single" w:sz="4" w:space="0" w:color="auto"/>
              <w:right w:val="single" w:sz="4" w:space="0" w:color="auto"/>
            </w:tcBorders>
            <w:vAlign w:val="center"/>
            <w:hideMark/>
          </w:tcPr>
          <w:p w14:paraId="67E293E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Verificar la veracidad de la información registrada en las declaraciones por los sujetos pasivos mediante el análisis y pruebas a través de las diferentes estrategias de control de veracidad como medida de mitigación de riesgos tributarios, considerando como parte de la estrategia la gestión persuasiva/ diligencias especiales.</w:t>
            </w:r>
          </w:p>
        </w:tc>
      </w:tr>
      <w:tr w:rsidR="00160081" w:rsidRPr="00160081" w14:paraId="35B8B8C0" w14:textId="77777777" w:rsidTr="00BD3D91">
        <w:trPr>
          <w:trHeight w:val="2366"/>
        </w:trPr>
        <w:tc>
          <w:tcPr>
            <w:tcW w:w="1969" w:type="dxa"/>
            <w:tcBorders>
              <w:top w:val="nil"/>
              <w:left w:val="single" w:sz="4" w:space="0" w:color="auto"/>
              <w:bottom w:val="single" w:sz="4" w:space="0" w:color="auto"/>
              <w:right w:val="single" w:sz="4" w:space="0" w:color="auto"/>
            </w:tcBorders>
            <w:shd w:val="clear" w:color="000000" w:fill="D9D9D9"/>
            <w:vAlign w:val="center"/>
            <w:hideMark/>
          </w:tcPr>
          <w:p w14:paraId="3AA76AF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547" w:type="dxa"/>
            <w:tcBorders>
              <w:top w:val="nil"/>
              <w:left w:val="nil"/>
              <w:bottom w:val="single" w:sz="4" w:space="0" w:color="auto"/>
              <w:right w:val="single" w:sz="4" w:space="0" w:color="auto"/>
            </w:tcBorders>
            <w:vAlign w:val="center"/>
            <w:hideMark/>
          </w:tcPr>
          <w:p w14:paraId="43BFF22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que inicia con la recepción de órdenes de trabajo generadas relacionadas con la Programación de estrategias de tratamiento provista por la etapa de Programación del Sistema de Gestión de Riesgos Tributarios, analiza información declarada, cruza datos internos y externos, identifica diferencias o riesgos, documentos (actos de simple administración o administrativos), y deriva a determinaciones tributarias y/o sanciones si corresponde hasta el cierre de la acción de control  y respectiva retroalimentación a la etapa de Evaluación del Sistema de Gestión de Riesgos Tributarios.</w:t>
            </w:r>
          </w:p>
        </w:tc>
      </w:tr>
      <w:tr w:rsidR="00160081" w:rsidRPr="00160081" w14:paraId="7F32A0A5" w14:textId="77777777" w:rsidTr="00BD3D91">
        <w:trPr>
          <w:trHeight w:val="82"/>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9472A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7BFEF60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Programación de estrategias de tratamiento, Orden de trabajo, declaraciones, anexos, papeles de trabajo, normativa vigente.</w:t>
            </w:r>
          </w:p>
        </w:tc>
      </w:tr>
      <w:tr w:rsidR="00160081" w:rsidRPr="00160081" w14:paraId="142F99BD" w14:textId="77777777" w:rsidTr="00BD3D91">
        <w:trPr>
          <w:trHeight w:val="1183"/>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49DC3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30930B9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Actos de simple administración o administrativos (Actas de determinación, comunicaciones de diferencias, entre otros documentos), informes de cierre.</w:t>
            </w:r>
          </w:p>
        </w:tc>
      </w:tr>
      <w:tr w:rsidR="00160081" w:rsidRPr="00160081" w14:paraId="3DE43E02" w14:textId="77777777" w:rsidTr="00BD3D91">
        <w:trPr>
          <w:trHeight w:val="132"/>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2995E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336828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Coordinador/Supervisor,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 control, Sistema SIAP, Departamentos de Gestión Tributaria y Departamento de Auditoría Tributaria, a nivel desconcentrado.</w:t>
            </w:r>
          </w:p>
        </w:tc>
      </w:tr>
      <w:tr w:rsidR="00160081" w:rsidRPr="00160081" w14:paraId="26D90B3D" w14:textId="77777777" w:rsidTr="00BD3D91">
        <w:trPr>
          <w:trHeight w:val="3698"/>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82BB89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4055638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Sistema de Gestión de Riesgos Tributarios</w:t>
            </w:r>
            <w:r w:rsidRPr="00160081">
              <w:rPr>
                <w:rFonts w:cstheme="minorHAnsi"/>
                <w:color w:val="000000"/>
                <w:sz w:val="20"/>
                <w:szCs w:val="20"/>
              </w:rPr>
              <w:br/>
              <w:t>- Alertas y avisos</w:t>
            </w:r>
            <w:r w:rsidRPr="00160081">
              <w:rPr>
                <w:rFonts w:cstheme="minorHAnsi"/>
                <w:color w:val="000000"/>
                <w:sz w:val="20"/>
                <w:szCs w:val="20"/>
              </w:rPr>
              <w:br/>
              <w:t>- Grupos de trabajo</w:t>
            </w:r>
            <w:r w:rsidRPr="00160081">
              <w:rPr>
                <w:rFonts w:cstheme="minorHAnsi"/>
                <w:color w:val="000000"/>
                <w:sz w:val="20"/>
                <w:szCs w:val="20"/>
              </w:rPr>
              <w:br/>
              <w:t>- Generador de documentos</w:t>
            </w:r>
            <w:r w:rsidRPr="00160081">
              <w:rPr>
                <w:rFonts w:cstheme="minorHAnsi"/>
                <w:color w:val="000000"/>
                <w:sz w:val="20"/>
                <w:szCs w:val="20"/>
              </w:rPr>
              <w:br/>
              <w:t>- Gestor documental y expediente integral - Tramites</w:t>
            </w:r>
            <w:r w:rsidRPr="00160081">
              <w:rPr>
                <w:rFonts w:cstheme="minorHAnsi"/>
                <w:color w:val="000000"/>
                <w:sz w:val="20"/>
                <w:szCs w:val="20"/>
              </w:rPr>
              <w:br/>
              <w:t>- Entrega y recepción</w:t>
            </w:r>
            <w:r w:rsidRPr="00160081">
              <w:rPr>
                <w:rFonts w:cstheme="minorHAnsi"/>
                <w:color w:val="000000"/>
                <w:sz w:val="20"/>
                <w:szCs w:val="20"/>
              </w:rPr>
              <w:br/>
              <w:t>- Gestor documental y expediente integral - Archivo</w:t>
            </w:r>
            <w:r w:rsidRPr="00160081">
              <w:rPr>
                <w:rFonts w:cstheme="minorHAnsi"/>
                <w:color w:val="000000"/>
                <w:sz w:val="20"/>
                <w:szCs w:val="20"/>
              </w:rPr>
              <w:br/>
              <w:t>- Pistas de auditoria</w:t>
            </w:r>
            <w:r w:rsidRPr="00160081">
              <w:rPr>
                <w:rFonts w:cstheme="minorHAnsi"/>
                <w:color w:val="000000"/>
                <w:sz w:val="20"/>
                <w:szCs w:val="20"/>
              </w:rPr>
              <w:br/>
              <w:t>- Autenticación y autorización</w:t>
            </w:r>
            <w:r w:rsidRPr="00160081">
              <w:rPr>
                <w:rFonts w:cstheme="minorHAnsi"/>
                <w:color w:val="000000"/>
                <w:sz w:val="20"/>
                <w:szCs w:val="20"/>
              </w:rPr>
              <w:br/>
              <w:t>- Administración de información</w:t>
            </w:r>
            <w:r w:rsidRPr="00160081">
              <w:rPr>
                <w:rFonts w:cstheme="minorHAnsi"/>
                <w:color w:val="000000"/>
                <w:sz w:val="20"/>
                <w:szCs w:val="20"/>
              </w:rPr>
              <w:br/>
              <w:t>- Integración de catastro de servicios web para Integración con aplicativos institucionales.</w:t>
            </w:r>
          </w:p>
        </w:tc>
      </w:tr>
      <w:tr w:rsidR="00160081" w:rsidRPr="00160081" w14:paraId="2CDFBA1E" w14:textId="77777777" w:rsidTr="00BD3D91">
        <w:trPr>
          <w:trHeight w:val="289"/>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90F60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547" w:type="dxa"/>
            <w:tcBorders>
              <w:top w:val="single" w:sz="4" w:space="0" w:color="auto"/>
              <w:left w:val="nil"/>
              <w:bottom w:val="single" w:sz="4" w:space="0" w:color="auto"/>
              <w:right w:val="single" w:sz="4" w:space="0" w:color="auto"/>
            </w:tcBorders>
            <w:vAlign w:val="center"/>
            <w:hideMark/>
          </w:tcPr>
          <w:p w14:paraId="273B66B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Reglas para asignación automática, validación de diferencias en información registrada, plazos normativos, riesgos priorizados.</w:t>
            </w:r>
          </w:p>
        </w:tc>
      </w:tr>
      <w:tr w:rsidR="00160081" w:rsidRPr="00160081" w14:paraId="4C882FE8" w14:textId="77777777" w:rsidTr="00BD3D91">
        <w:trPr>
          <w:trHeight w:val="1183"/>
        </w:trPr>
        <w:tc>
          <w:tcPr>
            <w:tcW w:w="1969" w:type="dxa"/>
            <w:tcBorders>
              <w:top w:val="nil"/>
              <w:left w:val="single" w:sz="4" w:space="0" w:color="auto"/>
              <w:bottom w:val="single" w:sz="4" w:space="0" w:color="auto"/>
              <w:right w:val="single" w:sz="4" w:space="0" w:color="auto"/>
            </w:tcBorders>
            <w:shd w:val="clear" w:color="000000" w:fill="D9D9D9"/>
            <w:vAlign w:val="center"/>
            <w:hideMark/>
          </w:tcPr>
          <w:p w14:paraId="1DF3E99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547" w:type="dxa"/>
            <w:tcBorders>
              <w:top w:val="nil"/>
              <w:left w:val="nil"/>
              <w:bottom w:val="single" w:sz="4" w:space="0" w:color="auto"/>
              <w:right w:val="single" w:sz="4" w:space="0" w:color="auto"/>
            </w:tcBorders>
            <w:vAlign w:val="center"/>
            <w:hideMark/>
          </w:tcPr>
          <w:p w14:paraId="3156084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Programación de Acciones de Tratamiento (acciones aprobadas), Reglas de Negocio (obligaciones tributarias, ejecución de control de diferencias y auditoría), Lineamientos y Papeles de Trabajo (diseños y pautas de tratamiento), Declaraciones y Anexos Tributarios (formularios, reportes), Sujeto Pasivo (catastro tributario), Trámite y Trámite Interno (número secuencial, solicitudes), Documentos generados (actas, informes, comunicaciones), Alertas y Avisos (mensajes informativos), Grupo de Trabajo (información de servidores y carga operativa), Requerimientos Adicionales (información complementaria), Resultados de Acciones de Tratamiento (evaluación del cumplimiento), Expediente y Expediente Integral (documentación física/electrónica).</w:t>
            </w:r>
          </w:p>
        </w:tc>
      </w:tr>
      <w:tr w:rsidR="00160081" w:rsidRPr="00160081" w14:paraId="04072662" w14:textId="77777777" w:rsidTr="00BD3D91">
        <w:trPr>
          <w:trHeight w:val="887"/>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FA2C64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429C5F7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w:t>
            </w:r>
          </w:p>
        </w:tc>
      </w:tr>
      <w:tr w:rsidR="00160081" w:rsidRPr="00160081" w14:paraId="23C46652" w14:textId="77777777" w:rsidTr="00221BF3">
        <w:trPr>
          <w:trHeight w:val="655"/>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158426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547" w:type="dxa"/>
            <w:tcBorders>
              <w:top w:val="single" w:sz="4" w:space="0" w:color="auto"/>
              <w:left w:val="single" w:sz="4" w:space="0" w:color="auto"/>
              <w:bottom w:val="single" w:sz="4" w:space="0" w:color="auto"/>
              <w:right w:val="single" w:sz="4" w:space="0" w:color="auto"/>
            </w:tcBorders>
            <w:vAlign w:val="center"/>
            <w:hideMark/>
          </w:tcPr>
          <w:p w14:paraId="51F7A01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Alto volumen mensual</w:t>
            </w:r>
          </w:p>
        </w:tc>
      </w:tr>
      <w:tr w:rsidR="00160081" w:rsidRPr="00160081" w14:paraId="43EA73E8" w14:textId="77777777" w:rsidTr="00221BF3">
        <w:trPr>
          <w:trHeight w:val="1036"/>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0962FD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547" w:type="dxa"/>
            <w:tcBorders>
              <w:top w:val="single" w:sz="4" w:space="0" w:color="auto"/>
              <w:left w:val="single" w:sz="4" w:space="0" w:color="auto"/>
              <w:bottom w:val="single" w:sz="4" w:space="0" w:color="auto"/>
              <w:right w:val="single" w:sz="4" w:space="0" w:color="auto"/>
            </w:tcBorders>
            <w:vAlign w:val="center"/>
            <w:hideMark/>
          </w:tcPr>
          <w:p w14:paraId="5CB5C24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Constitución de la República, Acuerdos Internacionales firmados por el Ecuador, Código Tributario, Leyes y reglamentos correspondientes, Resoluciones emitidas por SRI, políticas, procedimientos e instructivos internos vigentes relacionados al proceso.</w:t>
            </w:r>
          </w:p>
        </w:tc>
      </w:tr>
      <w:tr w:rsidR="00160081" w:rsidRPr="00160081" w14:paraId="47B1DD4D" w14:textId="77777777" w:rsidTr="00BD3D91">
        <w:trPr>
          <w:trHeight w:val="887"/>
        </w:trPr>
        <w:tc>
          <w:tcPr>
            <w:tcW w:w="19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6D76E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547" w:type="dxa"/>
            <w:tcBorders>
              <w:top w:val="single" w:sz="4" w:space="0" w:color="auto"/>
              <w:left w:val="nil"/>
              <w:bottom w:val="single" w:sz="4" w:space="0" w:color="auto"/>
              <w:right w:val="single" w:sz="4" w:space="0" w:color="auto"/>
            </w:tcBorders>
            <w:vAlign w:val="center"/>
            <w:hideMark/>
          </w:tcPr>
          <w:p w14:paraId="4676694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Mayor eficiencia en la ejecución del proceso de control y reducción de tiempos.</w:t>
            </w:r>
          </w:p>
        </w:tc>
      </w:tr>
      <w:tr w:rsidR="00160081" w:rsidRPr="00160081" w14:paraId="3DA34788" w14:textId="77777777" w:rsidTr="00BD3D91">
        <w:trPr>
          <w:trHeight w:val="887"/>
        </w:trPr>
        <w:tc>
          <w:tcPr>
            <w:tcW w:w="1969" w:type="dxa"/>
            <w:tcBorders>
              <w:top w:val="nil"/>
              <w:left w:val="single" w:sz="4" w:space="0" w:color="auto"/>
              <w:bottom w:val="single" w:sz="4" w:space="0" w:color="auto"/>
              <w:right w:val="single" w:sz="4" w:space="0" w:color="auto"/>
            </w:tcBorders>
            <w:shd w:val="clear" w:color="000000" w:fill="D9D9D9"/>
            <w:vAlign w:val="center"/>
            <w:hideMark/>
          </w:tcPr>
          <w:p w14:paraId="0D83AD4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547" w:type="dxa"/>
            <w:tcBorders>
              <w:top w:val="nil"/>
              <w:left w:val="nil"/>
              <w:bottom w:val="single" w:sz="4" w:space="0" w:color="auto"/>
              <w:right w:val="single" w:sz="4" w:space="0" w:color="auto"/>
            </w:tcBorders>
            <w:vAlign w:val="center"/>
            <w:hideMark/>
          </w:tcPr>
          <w:p w14:paraId="0F9AB87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de cadena de valor que permite aplicar la facultad determinadora</w:t>
            </w:r>
          </w:p>
        </w:tc>
      </w:tr>
    </w:tbl>
    <w:p w14:paraId="4D2120B9" w14:textId="77777777" w:rsidR="00160081" w:rsidRPr="00160081" w:rsidRDefault="00160081" w:rsidP="00160081">
      <w:pPr>
        <w:ind w:left="720"/>
        <w:jc w:val="both"/>
        <w:rPr>
          <w:rFonts w:cstheme="minorHAnsi"/>
          <w:sz w:val="20"/>
          <w:szCs w:val="20"/>
        </w:rPr>
      </w:pPr>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36"/>
        <w:gridCol w:w="7542"/>
      </w:tblGrid>
      <w:tr w:rsidR="00160081" w:rsidRPr="00160081" w14:paraId="126F9803" w14:textId="77777777" w:rsidTr="00BD3D91">
        <w:trPr>
          <w:trHeight w:val="89"/>
        </w:trPr>
        <w:tc>
          <w:tcPr>
            <w:tcW w:w="1836" w:type="dxa"/>
            <w:shd w:val="clear" w:color="000000" w:fill="D9D9D9"/>
            <w:vAlign w:val="center"/>
            <w:hideMark/>
          </w:tcPr>
          <w:p w14:paraId="0AF1430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542" w:type="dxa"/>
            <w:shd w:val="clear" w:color="000000" w:fill="FFFFFF"/>
            <w:vAlign w:val="center"/>
            <w:hideMark/>
          </w:tcPr>
          <w:p w14:paraId="64A4697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CU-06</w:t>
            </w:r>
          </w:p>
        </w:tc>
      </w:tr>
      <w:tr w:rsidR="00160081" w:rsidRPr="00160081" w14:paraId="1B62B230" w14:textId="77777777" w:rsidTr="00BD3D91">
        <w:trPr>
          <w:trHeight w:val="249"/>
        </w:trPr>
        <w:tc>
          <w:tcPr>
            <w:tcW w:w="1836" w:type="dxa"/>
            <w:shd w:val="clear" w:color="000000" w:fill="D9D9D9"/>
            <w:vAlign w:val="center"/>
            <w:hideMark/>
          </w:tcPr>
          <w:p w14:paraId="5E27560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542" w:type="dxa"/>
            <w:vAlign w:val="center"/>
            <w:hideMark/>
          </w:tcPr>
          <w:p w14:paraId="261C011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Gestión de Sanciones</w:t>
            </w:r>
          </w:p>
        </w:tc>
      </w:tr>
      <w:tr w:rsidR="00160081" w:rsidRPr="00160081" w14:paraId="4B4531E9" w14:textId="77777777" w:rsidTr="00BD3D91">
        <w:trPr>
          <w:trHeight w:val="664"/>
        </w:trPr>
        <w:tc>
          <w:tcPr>
            <w:tcW w:w="1836" w:type="dxa"/>
            <w:shd w:val="clear" w:color="000000" w:fill="D9D9D9"/>
            <w:vAlign w:val="center"/>
            <w:hideMark/>
          </w:tcPr>
          <w:p w14:paraId="345AA55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542" w:type="dxa"/>
            <w:vAlign w:val="center"/>
            <w:hideMark/>
          </w:tcPr>
          <w:p w14:paraId="1484F20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Aplicar sanciones tributarias conforme a las infracciones identificadas y la normativa vigente como medida de mitigación de incumplimientos tributarios, a fin de cumplir el Régimen Tributario ecuatoriano, lograr la formalización de sus obligaciones tributarias y cambiar su comportamiento respecto a los deberes formales.</w:t>
            </w:r>
          </w:p>
        </w:tc>
      </w:tr>
      <w:tr w:rsidR="00160081" w:rsidRPr="00160081" w14:paraId="72A240A9" w14:textId="77777777" w:rsidTr="00BD3D91">
        <w:trPr>
          <w:trHeight w:val="2228"/>
        </w:trPr>
        <w:tc>
          <w:tcPr>
            <w:tcW w:w="1836" w:type="dxa"/>
            <w:shd w:val="clear" w:color="000000" w:fill="D9D9D9"/>
            <w:vAlign w:val="center"/>
            <w:hideMark/>
          </w:tcPr>
          <w:p w14:paraId="389882C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542" w:type="dxa"/>
            <w:vAlign w:val="center"/>
            <w:hideMark/>
          </w:tcPr>
          <w:p w14:paraId="4DDEAD1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que inicia con la recepción de órdenes de trabajo relacionadas a infracciones tributarias identificadas en procesos previos y canalizado a través de la Programación de estrategias de tratamiento provista por la etapa de Programación del Sistema de Gestión de Riesgos Tributarios, analiza insumos, gestiona el tipo de sanción (pecuniaria o no pecuniaria), genera documentos (actos de simple administración o administrativos) y ejecuta acciones de sanción según corresponda hasta el cierre de la acción y respectiva retroalimentación a la etapa de Evaluación del Sistema de Gestión de Riesgos Tributarios.</w:t>
            </w:r>
          </w:p>
        </w:tc>
      </w:tr>
      <w:tr w:rsidR="00160081" w:rsidRPr="00160081" w14:paraId="3D6E7B24" w14:textId="77777777" w:rsidTr="00BD3D91">
        <w:trPr>
          <w:trHeight w:val="955"/>
        </w:trPr>
        <w:tc>
          <w:tcPr>
            <w:tcW w:w="1836" w:type="dxa"/>
            <w:shd w:val="clear" w:color="000000" w:fill="D9D9D9"/>
            <w:vAlign w:val="center"/>
            <w:hideMark/>
          </w:tcPr>
          <w:p w14:paraId="55978B4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542" w:type="dxa"/>
            <w:vAlign w:val="center"/>
            <w:hideMark/>
          </w:tcPr>
          <w:p w14:paraId="31C7149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Programación de estrategias de tratamiento, Orden de trabajo, documentos del contribuyente, reportes de incumplimiento, normativa vigente.</w:t>
            </w:r>
          </w:p>
        </w:tc>
      </w:tr>
      <w:tr w:rsidR="00160081" w:rsidRPr="00160081" w14:paraId="31BAF309" w14:textId="77777777" w:rsidTr="00BD3D91">
        <w:trPr>
          <w:trHeight w:val="82"/>
        </w:trPr>
        <w:tc>
          <w:tcPr>
            <w:tcW w:w="1836" w:type="dxa"/>
            <w:shd w:val="clear" w:color="000000" w:fill="D9D9D9"/>
            <w:vAlign w:val="center"/>
            <w:hideMark/>
          </w:tcPr>
          <w:p w14:paraId="5276DF1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542" w:type="dxa"/>
            <w:vAlign w:val="center"/>
            <w:hideMark/>
          </w:tcPr>
          <w:p w14:paraId="3558FBA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Actos de simple administración o administrativos (Resoluciones sancionatorias, oficios, clausuras), solicitud de formularios de pago, informes de cierre.</w:t>
            </w:r>
          </w:p>
        </w:tc>
      </w:tr>
      <w:tr w:rsidR="00160081" w:rsidRPr="00160081" w14:paraId="6DD10C29" w14:textId="77777777" w:rsidTr="00BD3D91">
        <w:trPr>
          <w:trHeight w:val="1313"/>
        </w:trPr>
        <w:tc>
          <w:tcPr>
            <w:tcW w:w="1836" w:type="dxa"/>
            <w:shd w:val="clear" w:color="000000" w:fill="D9D9D9"/>
            <w:vAlign w:val="center"/>
            <w:hideMark/>
          </w:tcPr>
          <w:p w14:paraId="6C0A710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542" w:type="dxa"/>
            <w:vAlign w:val="center"/>
            <w:hideMark/>
          </w:tcPr>
          <w:p w14:paraId="679F85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Coordinador/Supervisor,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 sanción (Departamentos de Gestión Tributaria, Departamento Fedatarios Fiscales, entre otras Unidades Administrativas relacionadas con infracciones a nivel desconcentrado), Sistema SIAP. </w:t>
            </w:r>
          </w:p>
        </w:tc>
      </w:tr>
      <w:tr w:rsidR="00160081" w:rsidRPr="00160081" w14:paraId="7ABA4172" w14:textId="77777777" w:rsidTr="00BD3D91">
        <w:trPr>
          <w:trHeight w:val="1691"/>
        </w:trPr>
        <w:tc>
          <w:tcPr>
            <w:tcW w:w="1836" w:type="dxa"/>
            <w:shd w:val="clear" w:color="000000" w:fill="D9D9D9"/>
            <w:vAlign w:val="center"/>
            <w:hideMark/>
          </w:tcPr>
          <w:p w14:paraId="07CC757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542" w:type="dxa"/>
            <w:vAlign w:val="center"/>
            <w:hideMark/>
          </w:tcPr>
          <w:p w14:paraId="49C3E1C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Sistema de Gestión de Riesgos Tributarios</w:t>
            </w:r>
            <w:r w:rsidRPr="00160081">
              <w:rPr>
                <w:rFonts w:cstheme="minorHAnsi"/>
                <w:color w:val="000000"/>
                <w:sz w:val="20"/>
                <w:szCs w:val="20"/>
              </w:rPr>
              <w:br/>
              <w:t>- Alertas y avisos</w:t>
            </w:r>
            <w:r w:rsidRPr="00160081">
              <w:rPr>
                <w:rFonts w:cstheme="minorHAnsi"/>
                <w:color w:val="000000"/>
                <w:sz w:val="20"/>
                <w:szCs w:val="20"/>
              </w:rPr>
              <w:br/>
              <w:t>- Grupos de trabajo</w:t>
            </w:r>
            <w:r w:rsidRPr="00160081">
              <w:rPr>
                <w:rFonts w:cstheme="minorHAnsi"/>
                <w:color w:val="000000"/>
                <w:sz w:val="20"/>
                <w:szCs w:val="20"/>
              </w:rPr>
              <w:br/>
              <w:t>- Generador de documentos</w:t>
            </w:r>
            <w:r w:rsidRPr="00160081">
              <w:rPr>
                <w:rFonts w:cstheme="minorHAnsi"/>
                <w:color w:val="000000"/>
                <w:sz w:val="20"/>
                <w:szCs w:val="20"/>
              </w:rPr>
              <w:br/>
              <w:t>- Gestor documental y expediente integral - Tramites</w:t>
            </w:r>
            <w:r w:rsidRPr="00160081">
              <w:rPr>
                <w:rFonts w:cstheme="minorHAnsi"/>
                <w:color w:val="000000"/>
                <w:sz w:val="20"/>
                <w:szCs w:val="20"/>
              </w:rPr>
              <w:br/>
              <w:t>- Gestor documental y expediente integral - Archivo</w:t>
            </w:r>
            <w:r w:rsidRPr="00160081">
              <w:rPr>
                <w:rFonts w:cstheme="minorHAnsi"/>
                <w:color w:val="000000"/>
                <w:sz w:val="20"/>
                <w:szCs w:val="20"/>
              </w:rPr>
              <w:br/>
              <w:t>- Pistas de auditoria</w:t>
            </w:r>
            <w:r w:rsidRPr="00160081">
              <w:rPr>
                <w:rFonts w:cstheme="minorHAnsi"/>
                <w:color w:val="000000"/>
                <w:sz w:val="20"/>
                <w:szCs w:val="20"/>
              </w:rPr>
              <w:br/>
              <w:t>- Autenticación y autorización</w:t>
            </w:r>
            <w:r w:rsidRPr="00160081">
              <w:rPr>
                <w:rFonts w:cstheme="minorHAnsi"/>
                <w:color w:val="000000"/>
                <w:sz w:val="20"/>
                <w:szCs w:val="20"/>
              </w:rPr>
              <w:br/>
              <w:t>- Administración de información</w:t>
            </w:r>
            <w:r w:rsidRPr="00160081">
              <w:rPr>
                <w:rFonts w:cstheme="minorHAnsi"/>
                <w:color w:val="000000"/>
                <w:sz w:val="20"/>
                <w:szCs w:val="20"/>
              </w:rPr>
              <w:br/>
              <w:t>- Integración de catastro de servicios web para Integración con aplicativos institucionales</w:t>
            </w:r>
          </w:p>
        </w:tc>
      </w:tr>
      <w:tr w:rsidR="00160081" w:rsidRPr="00160081" w14:paraId="06943286" w14:textId="77777777" w:rsidTr="00BD3D91">
        <w:trPr>
          <w:trHeight w:val="1008"/>
        </w:trPr>
        <w:tc>
          <w:tcPr>
            <w:tcW w:w="1836" w:type="dxa"/>
            <w:shd w:val="clear" w:color="000000" w:fill="D9D9D9"/>
            <w:vAlign w:val="center"/>
            <w:hideMark/>
          </w:tcPr>
          <w:p w14:paraId="566DB9A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542" w:type="dxa"/>
            <w:vAlign w:val="center"/>
            <w:hideMark/>
          </w:tcPr>
          <w:p w14:paraId="4A785C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Reglas para asignación automática, validación de incumplimiento, determinación de tipo de sanción, plazos internos y externos para la gestión del caso establecidos en la normativa vigente.</w:t>
            </w:r>
          </w:p>
        </w:tc>
      </w:tr>
      <w:tr w:rsidR="00160081" w:rsidRPr="00160081" w14:paraId="11A7C201" w14:textId="77777777" w:rsidTr="00BD3D91">
        <w:trPr>
          <w:trHeight w:val="82"/>
        </w:trPr>
        <w:tc>
          <w:tcPr>
            <w:tcW w:w="1836" w:type="dxa"/>
            <w:shd w:val="clear" w:color="000000" w:fill="D9D9D9"/>
            <w:vAlign w:val="center"/>
            <w:hideMark/>
          </w:tcPr>
          <w:p w14:paraId="7E6305A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542" w:type="dxa"/>
            <w:vAlign w:val="center"/>
            <w:hideMark/>
          </w:tcPr>
          <w:p w14:paraId="37DC1894" w14:textId="77777777" w:rsidR="00160081" w:rsidRPr="00160081" w:rsidRDefault="00160081" w:rsidP="00BD3D91">
            <w:pPr>
              <w:jc w:val="center"/>
              <w:rPr>
                <w:rFonts w:cstheme="minorHAnsi"/>
                <w:sz w:val="20"/>
                <w:szCs w:val="20"/>
              </w:rPr>
            </w:pPr>
            <w:r w:rsidRPr="00160081">
              <w:rPr>
                <w:rFonts w:cstheme="minorHAnsi"/>
                <w:sz w:val="20"/>
                <w:szCs w:val="20"/>
              </w:rPr>
              <w:t xml:space="preserve">Control de Catastro Tributario (datos del sujeto pasivo, vehículos), Control de Mercancías (controles de sustento o legitimidad documental de mercancías), Control de Facturación ( emisión, entrega, transmisión, y detección del incumplimiento de los requisitos los comprobantes de venta),  Control de brecha de presentación ( Acción tendiente a que un sujeto pasivo que no ha presentado o ha presentado de manera tardía las declaraciones, anexos e informes a las cuales está obligado), Control de inconsistencias (Error en declaraciones o errores de registro en anexos), Determinación Tributaria (Control de Diferencias, Auditorías), Declaraciones y Anexos Tributarios (formularios, reportes detallados), Trámite y Trámite Interno (número secuencial, solicitudes), Devolución de impuestos (Proceso de verificación y reconocimiento de valores de impuestos a favor de los sujetos pasivos), Recursos de Revisión (Recurso extraordinario que procede sobre actos administrativos en materia tributaria, firmes o ejecutoriados), Documentos generados (resoluciones, actas, oficios), Alertas y Avisos (mensajes informativos del proceso), Grupo de Trabajo (información de servidores y carga operativa), Requerimientos Adicionales (información complementaria solicitada), Reglas de Negocio (obligaciones tributarias, acciones de tratamiento, ejecución de infracciones), Infracción Tributaria (detalle de infracciones y sanciones), Resultados de Acciones de Tratamiento (evaluación del cumplimiento), Expediente y Expediente Integral (documentación física/electrónica del caso), Programación de Acciones de Tratamiento (acciones aprobadas y disponibles). </w:t>
            </w:r>
          </w:p>
        </w:tc>
      </w:tr>
      <w:tr w:rsidR="00160081" w:rsidRPr="00160081" w14:paraId="56701831" w14:textId="77777777" w:rsidTr="00BD3D91">
        <w:trPr>
          <w:trHeight w:val="835"/>
        </w:trPr>
        <w:tc>
          <w:tcPr>
            <w:tcW w:w="1836" w:type="dxa"/>
            <w:shd w:val="clear" w:color="000000" w:fill="D9D9D9"/>
            <w:vAlign w:val="center"/>
            <w:hideMark/>
          </w:tcPr>
          <w:p w14:paraId="6BCA6AD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542" w:type="dxa"/>
            <w:vAlign w:val="center"/>
            <w:hideMark/>
          </w:tcPr>
          <w:p w14:paraId="4F71A91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Funcionalidad en equipo móvil para operativos en campo</w:t>
            </w:r>
          </w:p>
        </w:tc>
      </w:tr>
      <w:tr w:rsidR="00160081" w:rsidRPr="00160081" w14:paraId="264E0388" w14:textId="77777777" w:rsidTr="00BD3D91">
        <w:trPr>
          <w:trHeight w:val="835"/>
        </w:trPr>
        <w:tc>
          <w:tcPr>
            <w:tcW w:w="1836" w:type="dxa"/>
            <w:shd w:val="clear" w:color="000000" w:fill="D9D9D9"/>
            <w:vAlign w:val="center"/>
            <w:hideMark/>
          </w:tcPr>
          <w:p w14:paraId="255CE4E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542" w:type="dxa"/>
            <w:vAlign w:val="center"/>
            <w:hideMark/>
          </w:tcPr>
          <w:p w14:paraId="77C6F26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Alto volumen mensual, con variaciones en alineación a programación de acciones de tratamiento</w:t>
            </w:r>
          </w:p>
        </w:tc>
      </w:tr>
      <w:tr w:rsidR="00160081" w:rsidRPr="00160081" w14:paraId="2CCF0E83" w14:textId="77777777" w:rsidTr="00BD3D91">
        <w:trPr>
          <w:trHeight w:val="82"/>
        </w:trPr>
        <w:tc>
          <w:tcPr>
            <w:tcW w:w="1836" w:type="dxa"/>
            <w:shd w:val="clear" w:color="000000" w:fill="D9D9D9"/>
            <w:vAlign w:val="center"/>
            <w:hideMark/>
          </w:tcPr>
          <w:p w14:paraId="19EA2F2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542" w:type="dxa"/>
            <w:vAlign w:val="center"/>
            <w:hideMark/>
          </w:tcPr>
          <w:p w14:paraId="4820C91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Constitución de la República, Acuerdos Internacionales firmados por el Ecuador, Código Tributario, Leyes y reglamentos correspondientes, Resoluciones emitidas por SRI, políticas, procedimientos e instructivos internos vigentes relacionados al proceso.</w:t>
            </w:r>
          </w:p>
        </w:tc>
      </w:tr>
      <w:tr w:rsidR="00160081" w:rsidRPr="00160081" w14:paraId="7A900D1D" w14:textId="77777777" w:rsidTr="00BD3D91">
        <w:trPr>
          <w:trHeight w:val="835"/>
        </w:trPr>
        <w:tc>
          <w:tcPr>
            <w:tcW w:w="1836" w:type="dxa"/>
            <w:shd w:val="clear" w:color="000000" w:fill="D9D9D9"/>
            <w:vAlign w:val="center"/>
            <w:hideMark/>
          </w:tcPr>
          <w:p w14:paraId="1E6C6FF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542" w:type="dxa"/>
            <w:vAlign w:val="center"/>
            <w:hideMark/>
          </w:tcPr>
          <w:p w14:paraId="410F14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Mayor eficiencia en la aplicación de sanciones y reducción de tiempos.</w:t>
            </w:r>
          </w:p>
        </w:tc>
      </w:tr>
      <w:tr w:rsidR="00160081" w:rsidRPr="00160081" w14:paraId="1EE36C89" w14:textId="77777777" w:rsidTr="00BD3D91">
        <w:trPr>
          <w:trHeight w:val="835"/>
        </w:trPr>
        <w:tc>
          <w:tcPr>
            <w:tcW w:w="1836" w:type="dxa"/>
            <w:shd w:val="clear" w:color="000000" w:fill="D9D9D9"/>
            <w:vAlign w:val="center"/>
            <w:hideMark/>
          </w:tcPr>
          <w:p w14:paraId="0353F81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542" w:type="dxa"/>
            <w:vAlign w:val="center"/>
            <w:hideMark/>
          </w:tcPr>
          <w:p w14:paraId="47623D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Proceso crítico de cadena de valor que permite aplicar facultad sancionadora</w:t>
            </w:r>
          </w:p>
        </w:tc>
      </w:tr>
    </w:tbl>
    <w:p w14:paraId="15C797D8" w14:textId="77777777" w:rsidR="00160081" w:rsidRPr="00160081" w:rsidRDefault="00160081" w:rsidP="00160081">
      <w:pPr>
        <w:ind w:left="720"/>
        <w:jc w:val="both"/>
        <w:rPr>
          <w:rFonts w:cstheme="minorHAnsi"/>
          <w:sz w:val="20"/>
          <w:szCs w:val="20"/>
        </w:rPr>
      </w:pPr>
    </w:p>
    <w:p w14:paraId="2518E54E" w14:textId="77777777" w:rsidR="00160081" w:rsidRPr="00160081" w:rsidRDefault="00160081" w:rsidP="00160081">
      <w:pPr>
        <w:ind w:left="1440"/>
        <w:jc w:val="both"/>
        <w:rPr>
          <w:rFonts w:cstheme="minorHAnsi"/>
          <w:sz w:val="20"/>
          <w:szCs w:val="20"/>
        </w:rPr>
      </w:pPr>
    </w:p>
    <w:tbl>
      <w:tblPr>
        <w:tblW w:w="9209" w:type="dxa"/>
        <w:tblCellMar>
          <w:left w:w="70" w:type="dxa"/>
          <w:right w:w="70" w:type="dxa"/>
        </w:tblCellMar>
        <w:tblLook w:val="04A0" w:firstRow="1" w:lastRow="0" w:firstColumn="1" w:lastColumn="0" w:noHBand="0" w:noVBand="1"/>
      </w:tblPr>
      <w:tblGrid>
        <w:gridCol w:w="1555"/>
        <w:gridCol w:w="7654"/>
      </w:tblGrid>
      <w:tr w:rsidR="00160081" w:rsidRPr="00160081" w14:paraId="5BD4F7A5" w14:textId="77777777" w:rsidTr="00221BF3">
        <w:trPr>
          <w:trHeight w:val="7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219EC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654" w:type="dxa"/>
            <w:tcBorders>
              <w:top w:val="single" w:sz="4" w:space="0" w:color="auto"/>
              <w:left w:val="single" w:sz="4" w:space="0" w:color="auto"/>
              <w:bottom w:val="single" w:sz="4" w:space="0" w:color="auto"/>
              <w:right w:val="single" w:sz="4" w:space="0" w:color="auto"/>
            </w:tcBorders>
            <w:vAlign w:val="center"/>
            <w:hideMark/>
          </w:tcPr>
          <w:p w14:paraId="6FD5100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CU-07</w:t>
            </w:r>
          </w:p>
        </w:tc>
      </w:tr>
      <w:tr w:rsidR="00160081" w:rsidRPr="00160081" w14:paraId="4FC90FE8" w14:textId="77777777" w:rsidTr="00221BF3">
        <w:trPr>
          <w:trHeight w:val="8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2D4EC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654" w:type="dxa"/>
            <w:tcBorders>
              <w:top w:val="single" w:sz="4" w:space="0" w:color="auto"/>
              <w:left w:val="single" w:sz="4" w:space="0" w:color="auto"/>
              <w:bottom w:val="single" w:sz="4" w:space="0" w:color="auto"/>
              <w:right w:val="single" w:sz="4" w:space="0" w:color="auto"/>
            </w:tcBorders>
            <w:vAlign w:val="center"/>
            <w:hideMark/>
          </w:tcPr>
          <w:p w14:paraId="2934205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Gestión de Trámites</w:t>
            </w:r>
          </w:p>
        </w:tc>
      </w:tr>
      <w:tr w:rsidR="00160081" w:rsidRPr="00160081" w14:paraId="2518C43D" w14:textId="77777777" w:rsidTr="00221BF3">
        <w:trPr>
          <w:trHeight w:val="1343"/>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74058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654" w:type="dxa"/>
            <w:tcBorders>
              <w:top w:val="single" w:sz="4" w:space="0" w:color="auto"/>
              <w:left w:val="single" w:sz="4" w:space="0" w:color="auto"/>
              <w:bottom w:val="single" w:sz="4" w:space="0" w:color="auto"/>
              <w:right w:val="single" w:sz="4" w:space="0" w:color="auto"/>
            </w:tcBorders>
            <w:vAlign w:val="center"/>
            <w:hideMark/>
          </w:tcPr>
          <w:p w14:paraId="510417F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Facilitar la recepción, validación y registro de solicitudes de todos los trámites institucionales en la nueva solución tecnológica, asegurando la verificación de datos en el Catastro Tributario, la identificación de acuerdos de uso de medios electrónicos, la carga y contabilización de documentos físicos y digitales, y la generación de un número único de trámite conforme a la política institucional de numeración. El objetivo es garantizar trazabilidad, control y asignación automática del trámite a la unidad correspondiente, optimizando la atención al contribuyente y la eficiencia institucional.</w:t>
            </w:r>
          </w:p>
        </w:tc>
      </w:tr>
      <w:tr w:rsidR="00160081" w:rsidRPr="00160081" w14:paraId="77D66068" w14:textId="77777777" w:rsidTr="00221BF3">
        <w:trPr>
          <w:trHeight w:val="2214"/>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2D19A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654" w:type="dxa"/>
            <w:tcBorders>
              <w:top w:val="single" w:sz="4" w:space="0" w:color="auto"/>
              <w:left w:val="single" w:sz="4" w:space="0" w:color="auto"/>
              <w:bottom w:val="single" w:sz="4" w:space="0" w:color="auto"/>
              <w:right w:val="single" w:sz="4" w:space="0" w:color="auto"/>
            </w:tcBorders>
            <w:vAlign w:val="center"/>
            <w:hideMark/>
          </w:tcPr>
          <w:p w14:paraId="573DC5B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proceso inicia con la recepción de la solicitud del contribuyente en ventanilla o a través de SRI en línea, donde se valida y registra la información junto con los requisitos y documentos entregados. Se genera un número único de trámite y, en caso de corresponder a otra jurisdicción, se envía mediante el sistema de notificaciones y valija. Durante la gestión, el sistema permite incorporar anexos, acumular trámites similares, fraccionar solicitudes múltiples o anular aquellas que correspondan. Finalmente, el trámite se asigna automáticamente a la unidad o analista responsable y todos los documentos se almacenan en el gestor documental, conformando el expediente del trámite</w:t>
            </w:r>
          </w:p>
        </w:tc>
      </w:tr>
      <w:tr w:rsidR="00160081" w:rsidRPr="00160081" w14:paraId="641B2E5B" w14:textId="77777777" w:rsidTr="00221BF3">
        <w:trPr>
          <w:trHeight w:val="8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63D63B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2C26B5D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Identificador del sujeto (C.I., RUC, pasaporte u otros).</w:t>
            </w:r>
            <w:r w:rsidRPr="00160081">
              <w:rPr>
                <w:rFonts w:cstheme="minorHAnsi"/>
                <w:color w:val="000000"/>
                <w:sz w:val="20"/>
                <w:szCs w:val="20"/>
              </w:rPr>
              <w:br/>
              <w:t xml:space="preserve">• Formulario de ingreso de trámite. </w:t>
            </w:r>
            <w:r w:rsidRPr="00160081">
              <w:rPr>
                <w:rFonts w:cstheme="minorHAnsi"/>
                <w:color w:val="000000"/>
                <w:sz w:val="20"/>
                <w:szCs w:val="20"/>
              </w:rPr>
              <w:br/>
              <w:t xml:space="preserve">• Documentos cargados según el trámite solicitado (ejemplo: poder notariado, cédula, papeleta de votación). </w:t>
            </w:r>
            <w:r w:rsidRPr="00160081">
              <w:rPr>
                <w:rFonts w:cstheme="minorHAnsi"/>
                <w:color w:val="000000"/>
                <w:sz w:val="20"/>
                <w:szCs w:val="20"/>
              </w:rPr>
              <w:br/>
              <w:t xml:space="preserve">• Información precargada desde el Sistema de Catastro Tributario (nombres, apellidos, direcciones, correo electrónico). </w:t>
            </w:r>
            <w:r w:rsidRPr="00160081">
              <w:rPr>
                <w:rFonts w:cstheme="minorHAnsi"/>
                <w:color w:val="000000"/>
                <w:sz w:val="20"/>
                <w:szCs w:val="20"/>
              </w:rPr>
              <w:br/>
              <w:t xml:space="preserve">• Estado del acuerdo de uso de medios electrónicos desde el Sistema de Claves. </w:t>
            </w:r>
            <w:r w:rsidRPr="00160081">
              <w:rPr>
                <w:rFonts w:cstheme="minorHAnsi"/>
                <w:color w:val="000000"/>
                <w:sz w:val="20"/>
                <w:szCs w:val="20"/>
              </w:rPr>
              <w:br/>
              <w:t xml:space="preserve">• Requisitos específicos del trámite, definidos en el catálogo institucional. </w:t>
            </w:r>
            <w:r w:rsidRPr="00160081">
              <w:rPr>
                <w:rFonts w:cstheme="minorHAnsi"/>
                <w:color w:val="000000"/>
                <w:sz w:val="20"/>
                <w:szCs w:val="20"/>
              </w:rPr>
              <w:br/>
              <w:t xml:space="preserve">• Evidencias físicas (cantidad de hojas, </w:t>
            </w:r>
            <w:proofErr w:type="spellStart"/>
            <w:r w:rsidRPr="00160081">
              <w:rPr>
                <w:rFonts w:cstheme="minorHAnsi"/>
                <w:color w:val="000000"/>
                <w:sz w:val="20"/>
                <w:szCs w:val="20"/>
              </w:rPr>
              <w:t>CDs</w:t>
            </w:r>
            <w:proofErr w:type="spellEnd"/>
            <w:r w:rsidRPr="00160081">
              <w:rPr>
                <w:rFonts w:cstheme="minorHAnsi"/>
                <w:color w:val="000000"/>
                <w:sz w:val="20"/>
                <w:szCs w:val="20"/>
              </w:rPr>
              <w:t>, anillados, sobres) o digitales (archivos cargados).</w:t>
            </w:r>
          </w:p>
        </w:tc>
      </w:tr>
      <w:tr w:rsidR="00160081" w:rsidRPr="00160081" w14:paraId="2CA4A1B5" w14:textId="77777777" w:rsidTr="00221BF3">
        <w:trPr>
          <w:trHeight w:val="211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CE41D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60BF79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Número único de trámite.</w:t>
            </w:r>
            <w:r w:rsidRPr="00160081">
              <w:rPr>
                <w:rFonts w:cstheme="minorHAnsi"/>
                <w:color w:val="000000"/>
                <w:sz w:val="20"/>
                <w:szCs w:val="20"/>
              </w:rPr>
              <w:br/>
              <w:t>• Documento de fe de recepción enviado por correo o impreso.</w:t>
            </w:r>
            <w:r w:rsidRPr="00160081">
              <w:rPr>
                <w:rFonts w:cstheme="minorHAnsi"/>
                <w:color w:val="000000"/>
                <w:sz w:val="20"/>
                <w:szCs w:val="20"/>
              </w:rPr>
              <w:br/>
              <w:t>• Registro del sujeto en Catastro Tributario.</w:t>
            </w:r>
            <w:r w:rsidRPr="00160081">
              <w:rPr>
                <w:rFonts w:cstheme="minorHAnsi"/>
                <w:color w:val="000000"/>
                <w:sz w:val="20"/>
                <w:szCs w:val="20"/>
              </w:rPr>
              <w:br/>
              <w:t>• Actualización del estado del trámite en la nueva solución tecnológica.</w:t>
            </w:r>
            <w:r w:rsidRPr="00160081">
              <w:rPr>
                <w:rFonts w:cstheme="minorHAnsi"/>
                <w:color w:val="000000"/>
                <w:sz w:val="20"/>
                <w:szCs w:val="20"/>
              </w:rPr>
              <w:br/>
              <w:t>• Notificación electrónica habilitada en el buzón del contribuyente (si aplica).</w:t>
            </w:r>
            <w:r w:rsidRPr="00160081">
              <w:rPr>
                <w:rFonts w:cstheme="minorHAnsi"/>
                <w:color w:val="000000"/>
                <w:sz w:val="20"/>
                <w:szCs w:val="20"/>
              </w:rPr>
              <w:br/>
              <w:t>• Número de sobre generado en el Sistema de Valija (cuando el trámite corresponde a otra jurisdicción).</w:t>
            </w:r>
            <w:r w:rsidRPr="00160081">
              <w:rPr>
                <w:rFonts w:cstheme="minorHAnsi"/>
                <w:color w:val="000000"/>
                <w:sz w:val="20"/>
                <w:szCs w:val="20"/>
              </w:rPr>
              <w:br/>
              <w:t>• Asignación automática del trámite a unidad y usuario interno.</w:t>
            </w:r>
            <w:r w:rsidRPr="00160081">
              <w:rPr>
                <w:rFonts w:cstheme="minorHAnsi"/>
                <w:color w:val="000000"/>
                <w:sz w:val="20"/>
                <w:szCs w:val="20"/>
              </w:rPr>
              <w:br/>
              <w:t>• Aviso automático al usuario interno asignado para que conozca el nuevo trámite en su bandeja de trabajo.</w:t>
            </w:r>
            <w:r w:rsidRPr="00160081">
              <w:rPr>
                <w:rFonts w:cstheme="minorHAnsi"/>
                <w:color w:val="000000"/>
                <w:sz w:val="20"/>
                <w:szCs w:val="20"/>
              </w:rPr>
              <w:br/>
              <w:t>• Visualización completa del formulario y del grupo documental en la pantalla del trámite.</w:t>
            </w:r>
            <w:r w:rsidRPr="00160081">
              <w:rPr>
                <w:rFonts w:cstheme="minorHAnsi"/>
                <w:color w:val="000000"/>
                <w:sz w:val="20"/>
                <w:szCs w:val="20"/>
              </w:rPr>
              <w:br/>
              <w:t>• Anexos integrados al expediente del trámite en análisis.</w:t>
            </w:r>
          </w:p>
        </w:tc>
      </w:tr>
      <w:tr w:rsidR="00160081" w:rsidRPr="00160081" w14:paraId="7AE4FABF" w14:textId="77777777" w:rsidTr="00221BF3">
        <w:trPr>
          <w:trHeight w:val="2825"/>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DC597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1A60493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 </w:t>
            </w:r>
            <w:r w:rsidRPr="00160081">
              <w:rPr>
                <w:rFonts w:cstheme="minorHAnsi"/>
                <w:b/>
                <w:bCs/>
                <w:color w:val="000000"/>
                <w:sz w:val="20"/>
                <w:szCs w:val="20"/>
              </w:rPr>
              <w:t>Sujeto:</w:t>
            </w:r>
            <w:r w:rsidRPr="00160081">
              <w:rPr>
                <w:rFonts w:cstheme="minorHAnsi"/>
                <w:color w:val="000000"/>
                <w:sz w:val="20"/>
                <w:szCs w:val="20"/>
              </w:rPr>
              <w:t xml:space="preserve"> contribuyente, ciudadano o extranjero que presenta la solicitud.</w:t>
            </w:r>
            <w:r w:rsidRPr="00160081">
              <w:rPr>
                <w:rFonts w:cstheme="minorHAnsi"/>
                <w:color w:val="000000"/>
                <w:sz w:val="20"/>
                <w:szCs w:val="20"/>
              </w:rPr>
              <w:br/>
              <w:t xml:space="preserve">• </w:t>
            </w:r>
            <w:r w:rsidRPr="00160081">
              <w:rPr>
                <w:rFonts w:cstheme="minorHAnsi"/>
                <w:b/>
                <w:bCs/>
                <w:color w:val="000000"/>
                <w:sz w:val="20"/>
                <w:szCs w:val="20"/>
              </w:rPr>
              <w:t>Usuario interno de ventanilla</w:t>
            </w:r>
            <w:r w:rsidRPr="00160081">
              <w:rPr>
                <w:rFonts w:cstheme="minorHAnsi"/>
                <w:color w:val="000000"/>
                <w:sz w:val="20"/>
                <w:szCs w:val="20"/>
              </w:rPr>
              <w:t>: personal encargado de recibir la solicitud, registrar datos y validar requisitos.</w:t>
            </w:r>
            <w:r w:rsidRPr="00160081">
              <w:rPr>
                <w:rFonts w:cstheme="minorHAnsi"/>
                <w:color w:val="000000"/>
                <w:sz w:val="20"/>
                <w:szCs w:val="20"/>
              </w:rPr>
              <w:br/>
              <w:t xml:space="preserve">• </w:t>
            </w:r>
            <w:r w:rsidRPr="00160081">
              <w:rPr>
                <w:rFonts w:cstheme="minorHAnsi"/>
                <w:b/>
                <w:bCs/>
                <w:color w:val="000000"/>
                <w:sz w:val="20"/>
                <w:szCs w:val="20"/>
              </w:rPr>
              <w:t>Administradores del sistema</w:t>
            </w:r>
            <w:r w:rsidRPr="00160081">
              <w:rPr>
                <w:rFonts w:cstheme="minorHAnsi"/>
                <w:color w:val="000000"/>
                <w:sz w:val="20"/>
                <w:szCs w:val="20"/>
              </w:rPr>
              <w:t>: personal encargado de configurar reglas de negocio, numeración institucional y Catálogos de trámites y requisitos..</w:t>
            </w:r>
            <w:r w:rsidRPr="00160081">
              <w:rPr>
                <w:rFonts w:cstheme="minorHAnsi"/>
                <w:color w:val="000000"/>
                <w:sz w:val="20"/>
                <w:szCs w:val="20"/>
              </w:rPr>
              <w:br/>
            </w:r>
            <w:r w:rsidRPr="00160081">
              <w:rPr>
                <w:rFonts w:cstheme="minorHAnsi"/>
                <w:b/>
                <w:bCs/>
                <w:color w:val="000000"/>
                <w:sz w:val="20"/>
                <w:szCs w:val="20"/>
              </w:rPr>
              <w:t>• Usuario interno asignado al trámite</w:t>
            </w:r>
            <w:r w:rsidRPr="00160081">
              <w:rPr>
                <w:rFonts w:cstheme="minorHAnsi"/>
                <w:color w:val="000000"/>
                <w:sz w:val="20"/>
                <w:szCs w:val="20"/>
              </w:rPr>
              <w:t xml:space="preserve">: funcionario al que se le asigna el trámite según reglas de negocio (aleatorio, por carga de trabajo o por </w:t>
            </w:r>
            <w:proofErr w:type="spellStart"/>
            <w:r w:rsidRPr="00160081">
              <w:rPr>
                <w:rFonts w:cstheme="minorHAnsi"/>
                <w:color w:val="000000"/>
                <w:sz w:val="20"/>
                <w:szCs w:val="20"/>
              </w:rPr>
              <w:t>expertiz</w:t>
            </w:r>
            <w:proofErr w:type="spellEnd"/>
            <w:r w:rsidRPr="00160081">
              <w:rPr>
                <w:rFonts w:cstheme="minorHAnsi"/>
                <w:color w:val="000000"/>
                <w:sz w:val="20"/>
                <w:szCs w:val="20"/>
              </w:rPr>
              <w:t>) y que será responsable de su gestión.</w:t>
            </w:r>
            <w:r w:rsidRPr="00160081">
              <w:rPr>
                <w:rFonts w:cstheme="minorHAnsi"/>
                <w:color w:val="000000"/>
                <w:sz w:val="20"/>
                <w:szCs w:val="20"/>
              </w:rPr>
              <w:br/>
            </w:r>
            <w:r w:rsidRPr="00160081">
              <w:rPr>
                <w:rFonts w:cstheme="minorHAnsi"/>
                <w:b/>
                <w:bCs/>
                <w:color w:val="000000"/>
                <w:sz w:val="20"/>
                <w:szCs w:val="20"/>
              </w:rPr>
              <w:t>• Sistema de Catastro Tributario</w:t>
            </w:r>
            <w:r w:rsidRPr="00160081">
              <w:rPr>
                <w:rFonts w:cstheme="minorHAnsi"/>
                <w:color w:val="000000"/>
                <w:sz w:val="20"/>
                <w:szCs w:val="20"/>
              </w:rPr>
              <w:t>: fuente de datos para validar y precargar información del sujeto.</w:t>
            </w:r>
            <w:r w:rsidRPr="00160081">
              <w:rPr>
                <w:rFonts w:cstheme="minorHAnsi"/>
                <w:color w:val="000000"/>
                <w:sz w:val="20"/>
                <w:szCs w:val="20"/>
              </w:rPr>
              <w:br/>
            </w:r>
            <w:r w:rsidRPr="00160081">
              <w:rPr>
                <w:rFonts w:cstheme="minorHAnsi"/>
                <w:b/>
                <w:bCs/>
                <w:color w:val="000000"/>
                <w:sz w:val="20"/>
                <w:szCs w:val="20"/>
              </w:rPr>
              <w:t>• Sistema de Claves</w:t>
            </w:r>
            <w:r w:rsidRPr="00160081">
              <w:rPr>
                <w:rFonts w:cstheme="minorHAnsi"/>
                <w:color w:val="000000"/>
                <w:sz w:val="20"/>
                <w:szCs w:val="20"/>
              </w:rPr>
              <w:t>: fuente para verificar acuerdos de uso de medios electrónicos y habilitar notificación digital.</w:t>
            </w:r>
            <w:r w:rsidRPr="00160081">
              <w:rPr>
                <w:rFonts w:cstheme="minorHAnsi"/>
                <w:color w:val="000000"/>
                <w:sz w:val="20"/>
                <w:szCs w:val="20"/>
              </w:rPr>
              <w:br/>
            </w:r>
            <w:r w:rsidRPr="00160081">
              <w:rPr>
                <w:rFonts w:cstheme="minorHAnsi"/>
                <w:b/>
                <w:bCs/>
                <w:color w:val="000000"/>
                <w:sz w:val="20"/>
                <w:szCs w:val="20"/>
              </w:rPr>
              <w:t xml:space="preserve">• Sistema de Notificaciones y Valija: </w:t>
            </w:r>
            <w:r w:rsidRPr="00160081">
              <w:rPr>
                <w:rFonts w:cstheme="minorHAnsi"/>
                <w:color w:val="000000"/>
                <w:sz w:val="20"/>
                <w:szCs w:val="20"/>
              </w:rPr>
              <w:t>Sistema que genera el número de sobre para traslado de documentos físicos</w:t>
            </w:r>
          </w:p>
        </w:tc>
      </w:tr>
      <w:tr w:rsidR="00160081" w:rsidRPr="00160081" w14:paraId="5A7C94FD" w14:textId="77777777" w:rsidTr="00221BF3">
        <w:trPr>
          <w:trHeight w:val="1833"/>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746DB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36A1065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Directorio institucional / LDAP para validar identidad y perfiles.</w:t>
            </w:r>
            <w:r w:rsidRPr="00160081">
              <w:rPr>
                <w:rFonts w:cstheme="minorHAnsi"/>
                <w:color w:val="000000"/>
                <w:sz w:val="20"/>
                <w:szCs w:val="20"/>
              </w:rPr>
              <w:br/>
              <w:t>•  Grupo de trabajo</w:t>
            </w:r>
            <w:r w:rsidRPr="00160081">
              <w:rPr>
                <w:rFonts w:cstheme="minorHAnsi"/>
                <w:color w:val="000000"/>
                <w:sz w:val="20"/>
                <w:szCs w:val="20"/>
              </w:rPr>
              <w:br/>
              <w:t>• Administración de Catálogos</w:t>
            </w:r>
            <w:r w:rsidRPr="00160081">
              <w:rPr>
                <w:rFonts w:cstheme="minorHAnsi"/>
                <w:color w:val="000000"/>
                <w:sz w:val="20"/>
                <w:szCs w:val="20"/>
              </w:rPr>
              <w:br/>
              <w:t>• Sistema de Gestión de Trámites (GTM en línea)</w:t>
            </w:r>
            <w:r w:rsidRPr="00160081">
              <w:rPr>
                <w:rFonts w:cstheme="minorHAnsi"/>
                <w:color w:val="000000"/>
                <w:sz w:val="20"/>
                <w:szCs w:val="20"/>
              </w:rPr>
              <w:br/>
              <w:t>• Sistema de Catastro Tributario</w:t>
            </w:r>
            <w:r w:rsidRPr="00160081">
              <w:rPr>
                <w:rFonts w:cstheme="minorHAnsi"/>
                <w:color w:val="000000"/>
                <w:sz w:val="20"/>
                <w:szCs w:val="20"/>
              </w:rPr>
              <w:br/>
              <w:t>• Sistema de Claves: verificación de acuerdos de uso de medios electrónicos y habilitación de notificación digital.</w:t>
            </w:r>
            <w:r w:rsidRPr="00160081">
              <w:rPr>
                <w:rFonts w:cstheme="minorHAnsi"/>
                <w:color w:val="000000"/>
                <w:sz w:val="20"/>
                <w:szCs w:val="20"/>
              </w:rPr>
              <w:br/>
              <w:t>• ECM: Carga de documentos electrónicos asociados a requisitos.</w:t>
            </w:r>
            <w:r w:rsidRPr="00160081">
              <w:rPr>
                <w:rFonts w:cstheme="minorHAnsi"/>
                <w:color w:val="000000"/>
                <w:sz w:val="20"/>
                <w:szCs w:val="20"/>
              </w:rPr>
              <w:br/>
              <w:t>• Alertas y avisos: envío automático de fe de recepción al buzón del contribuyente y correo electrónico.</w:t>
            </w:r>
            <w:r w:rsidRPr="00160081">
              <w:rPr>
                <w:rFonts w:cstheme="minorHAnsi"/>
                <w:color w:val="000000"/>
                <w:sz w:val="20"/>
                <w:szCs w:val="20"/>
              </w:rPr>
              <w:br/>
              <w:t>• Sistema de Notificaciones y Valija: encargado de generar el número de sobre y gestionar el envío interjurisdiccional.</w:t>
            </w:r>
            <w:r w:rsidRPr="00160081">
              <w:rPr>
                <w:rFonts w:cstheme="minorHAnsi"/>
                <w:color w:val="000000"/>
                <w:sz w:val="20"/>
                <w:szCs w:val="20"/>
              </w:rPr>
              <w:br/>
              <w:t>•  Seguimiento de Trámites</w:t>
            </w:r>
          </w:p>
        </w:tc>
      </w:tr>
      <w:tr w:rsidR="00160081" w:rsidRPr="00160081" w14:paraId="23114209" w14:textId="77777777" w:rsidTr="00221BF3">
        <w:trPr>
          <w:trHeight w:val="699"/>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86C8AE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3FE2D878" w14:textId="77777777" w:rsidR="00221BF3" w:rsidRDefault="00160081" w:rsidP="00BD3D91">
            <w:pPr>
              <w:jc w:val="center"/>
              <w:rPr>
                <w:rFonts w:cstheme="minorHAnsi"/>
                <w:color w:val="000000"/>
                <w:sz w:val="20"/>
                <w:szCs w:val="20"/>
              </w:rPr>
            </w:pPr>
            <w:r w:rsidRPr="00160081">
              <w:rPr>
                <w:rFonts w:cstheme="minorHAnsi"/>
                <w:color w:val="000000"/>
                <w:sz w:val="20"/>
                <w:szCs w:val="20"/>
              </w:rPr>
              <w:t>• Todo trámite debe contar con identificador.</w:t>
            </w:r>
            <w:r w:rsidRPr="00160081">
              <w:rPr>
                <w:rFonts w:cstheme="minorHAnsi"/>
                <w:color w:val="000000"/>
                <w:sz w:val="20"/>
                <w:szCs w:val="20"/>
              </w:rPr>
              <w:br/>
              <w:t>• Numeración única conforme a política institucional.</w:t>
            </w:r>
            <w:r w:rsidRPr="00160081">
              <w:rPr>
                <w:rFonts w:cstheme="minorHAnsi"/>
                <w:color w:val="000000"/>
                <w:sz w:val="20"/>
                <w:szCs w:val="20"/>
              </w:rPr>
              <w:br/>
              <w:t>• Validación obligatoria en Catastro Tributario.</w:t>
            </w:r>
            <w:r w:rsidRPr="00160081">
              <w:rPr>
                <w:rFonts w:cstheme="minorHAnsi"/>
                <w:color w:val="000000"/>
                <w:sz w:val="20"/>
                <w:szCs w:val="20"/>
              </w:rPr>
              <w:br/>
              <w:t>• Habilitación de notificación electrónica si existe acuerdo.</w:t>
            </w:r>
            <w:r w:rsidRPr="00160081">
              <w:rPr>
                <w:rFonts w:cstheme="minorHAnsi"/>
                <w:color w:val="000000"/>
                <w:sz w:val="20"/>
                <w:szCs w:val="20"/>
              </w:rPr>
              <w:br/>
              <w:t>• Requisitos mostrados automáticamente según catálogo institucional.</w:t>
            </w:r>
            <w:r w:rsidRPr="00160081">
              <w:rPr>
                <w:rFonts w:cstheme="minorHAnsi"/>
                <w:color w:val="000000"/>
                <w:sz w:val="20"/>
                <w:szCs w:val="20"/>
              </w:rPr>
              <w:br/>
              <w:t>• Documento de fe de recepción obligatorio.</w:t>
            </w:r>
            <w:r w:rsidRPr="00160081">
              <w:rPr>
                <w:rFonts w:cstheme="minorHAnsi"/>
                <w:color w:val="000000"/>
                <w:sz w:val="20"/>
                <w:szCs w:val="20"/>
              </w:rPr>
              <w:br/>
              <w:t>• Si el trámite corresponde a otra jurisdicción, se debe generar número de sobre en el Sistema de Valija.</w:t>
            </w:r>
            <w:r w:rsidRPr="00160081">
              <w:rPr>
                <w:rFonts w:cstheme="minorHAnsi"/>
                <w:color w:val="000000"/>
                <w:sz w:val="20"/>
                <w:szCs w:val="20"/>
              </w:rPr>
              <w:br/>
              <w:t>• Asignación automática a unidad y usuario interno según reglas de negocio.</w:t>
            </w:r>
            <w:r w:rsidRPr="00160081">
              <w:rPr>
                <w:rFonts w:cstheme="minorHAnsi"/>
                <w:color w:val="000000"/>
                <w:sz w:val="20"/>
                <w:szCs w:val="20"/>
              </w:rPr>
              <w:br/>
              <w:t>• Aviso automático al usuario interno asignado para informar que tiene un nuevo trámite en su bandeja de trabajo.</w:t>
            </w:r>
          </w:p>
          <w:p w14:paraId="77195CFD" w14:textId="61456FE7" w:rsidR="00160081" w:rsidRPr="00160081" w:rsidRDefault="00160081" w:rsidP="00BD3D91">
            <w:pPr>
              <w:jc w:val="center"/>
              <w:rPr>
                <w:rFonts w:cstheme="minorHAnsi"/>
                <w:color w:val="000000"/>
                <w:sz w:val="20"/>
                <w:szCs w:val="20"/>
              </w:rPr>
            </w:pPr>
            <w:r w:rsidRPr="00160081">
              <w:rPr>
                <w:rFonts w:cstheme="minorHAnsi"/>
                <w:color w:val="000000"/>
                <w:sz w:val="20"/>
                <w:szCs w:val="20"/>
              </w:rPr>
              <w:br/>
              <w:t>• El usuario interno debe visualizar en la pantalla del trámite toda la información del formulario y los documentos del grupo documental.</w:t>
            </w:r>
            <w:r w:rsidRPr="00160081">
              <w:rPr>
                <w:rFonts w:cstheme="minorHAnsi"/>
                <w:color w:val="000000"/>
                <w:sz w:val="20"/>
                <w:szCs w:val="20"/>
              </w:rPr>
              <w:br/>
              <w:t>• Los anexos deben poder agregarse únicamente a trámites en estado de análisis y quedar integrados al expediente del trámite.</w:t>
            </w:r>
          </w:p>
        </w:tc>
      </w:tr>
      <w:tr w:rsidR="00160081" w:rsidRPr="00160081" w14:paraId="611405B7" w14:textId="77777777" w:rsidTr="00221BF3">
        <w:trPr>
          <w:trHeight w:val="1514"/>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81F0AF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654" w:type="dxa"/>
            <w:tcBorders>
              <w:top w:val="single" w:sz="4" w:space="0" w:color="auto"/>
              <w:left w:val="single" w:sz="4" w:space="0" w:color="auto"/>
              <w:bottom w:val="single" w:sz="4" w:space="0" w:color="auto"/>
              <w:right w:val="single" w:sz="4" w:space="0" w:color="auto"/>
            </w:tcBorders>
            <w:vAlign w:val="center"/>
            <w:hideMark/>
          </w:tcPr>
          <w:p w14:paraId="09F397D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Datos de identificación del sujeto.</w:t>
            </w:r>
            <w:r w:rsidRPr="00160081">
              <w:rPr>
                <w:rFonts w:cstheme="minorHAnsi"/>
                <w:color w:val="000000"/>
                <w:sz w:val="20"/>
                <w:szCs w:val="20"/>
              </w:rPr>
              <w:br/>
              <w:t>• Información precargada de Catastro Tributario.</w:t>
            </w:r>
            <w:r w:rsidRPr="00160081">
              <w:rPr>
                <w:rFonts w:cstheme="minorHAnsi"/>
                <w:color w:val="000000"/>
                <w:sz w:val="20"/>
                <w:szCs w:val="20"/>
              </w:rPr>
              <w:br/>
              <w:t>• Estado de medios electrónicos desde Sistema de Claves.</w:t>
            </w:r>
            <w:r w:rsidRPr="00160081">
              <w:rPr>
                <w:rFonts w:cstheme="minorHAnsi"/>
                <w:color w:val="000000"/>
                <w:sz w:val="20"/>
                <w:szCs w:val="20"/>
              </w:rPr>
              <w:br/>
              <w:t>• Catálogo de trámites y requisitos.</w:t>
            </w:r>
            <w:r w:rsidRPr="00160081">
              <w:rPr>
                <w:rFonts w:cstheme="minorHAnsi"/>
                <w:color w:val="000000"/>
                <w:sz w:val="20"/>
                <w:szCs w:val="20"/>
              </w:rPr>
              <w:br/>
              <w:t>• Documentos anexos requeridos.</w:t>
            </w:r>
            <w:r w:rsidRPr="00160081">
              <w:rPr>
                <w:rFonts w:cstheme="minorHAnsi"/>
                <w:color w:val="000000"/>
                <w:sz w:val="20"/>
                <w:szCs w:val="20"/>
              </w:rPr>
              <w:br/>
              <w:t>• Evidencias físicas y documentos digitales.</w:t>
            </w:r>
            <w:r w:rsidRPr="00160081">
              <w:rPr>
                <w:rFonts w:cstheme="minorHAnsi"/>
                <w:color w:val="000000"/>
                <w:sz w:val="20"/>
                <w:szCs w:val="20"/>
              </w:rPr>
              <w:br/>
              <w:t>• Políticas institucionales de numeración.</w:t>
            </w:r>
            <w:r w:rsidRPr="00160081">
              <w:rPr>
                <w:rFonts w:cstheme="minorHAnsi"/>
                <w:color w:val="000000"/>
                <w:sz w:val="20"/>
                <w:szCs w:val="20"/>
              </w:rPr>
              <w:br/>
              <w:t>• Configuración de reglas de negocio para asignación automática.</w:t>
            </w:r>
          </w:p>
        </w:tc>
      </w:tr>
      <w:tr w:rsidR="00160081" w:rsidRPr="00160081" w14:paraId="763A1A96" w14:textId="77777777" w:rsidTr="00221BF3">
        <w:trPr>
          <w:trHeight w:val="638"/>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82C20A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2FEEC64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proceso debe garantizar seguridad en el manejo de datos personales (confidencialidad y protección de información sensible) y asegurar trazabilidad completa de cada trámite mediante registros automáticos de acciones, estados y transferencias interjurisdiccionales.</w:t>
            </w:r>
          </w:p>
        </w:tc>
      </w:tr>
      <w:tr w:rsidR="00160081" w:rsidRPr="00160081" w14:paraId="64FB4F18" w14:textId="77777777" w:rsidTr="00221BF3">
        <w:trPr>
          <w:trHeight w:val="946"/>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1AE98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654" w:type="dxa"/>
            <w:tcBorders>
              <w:top w:val="single" w:sz="4" w:space="0" w:color="auto"/>
              <w:left w:val="single" w:sz="4" w:space="0" w:color="auto"/>
              <w:bottom w:val="single" w:sz="4" w:space="0" w:color="auto"/>
              <w:right w:val="single" w:sz="4" w:space="0" w:color="auto"/>
            </w:tcBorders>
            <w:vAlign w:val="center"/>
            <w:hideMark/>
          </w:tcPr>
          <w:p w14:paraId="597E7FD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Aproximadamente 7 millones de solicitudes (trámites) al año ingresadas. Volumen variable según época fiscal o campañas institucionales.</w:t>
            </w:r>
            <w:r w:rsidRPr="00160081">
              <w:rPr>
                <w:rFonts w:cstheme="minorHAnsi"/>
                <w:color w:val="000000"/>
                <w:sz w:val="20"/>
                <w:szCs w:val="20"/>
              </w:rPr>
              <w:br/>
              <w:t>Matriz de dimensionamiento.</w:t>
            </w:r>
          </w:p>
        </w:tc>
      </w:tr>
      <w:tr w:rsidR="00160081" w:rsidRPr="00160081" w14:paraId="0AF1AB19" w14:textId="77777777" w:rsidTr="00221BF3">
        <w:trPr>
          <w:trHeight w:val="8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162C7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25B424B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Normativa tributaria vigente, resoluciones institucionales sobre recepción de trámites, lineamientos de seguridad para notificación electrónica.</w:t>
            </w:r>
          </w:p>
        </w:tc>
      </w:tr>
      <w:tr w:rsidR="00160081" w:rsidRPr="00160081" w14:paraId="4863C9DC" w14:textId="77777777" w:rsidTr="00221BF3">
        <w:trPr>
          <w:trHeight w:val="8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43D820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654" w:type="dxa"/>
            <w:tcBorders>
              <w:top w:val="single" w:sz="4" w:space="0" w:color="auto"/>
              <w:left w:val="single" w:sz="4" w:space="0" w:color="auto"/>
              <w:bottom w:val="single" w:sz="4" w:space="0" w:color="auto"/>
              <w:right w:val="single" w:sz="4" w:space="0" w:color="auto"/>
            </w:tcBorders>
            <w:vAlign w:val="center"/>
            <w:hideMark/>
          </w:tcPr>
          <w:p w14:paraId="76B2E76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Mayor eficiencia en la gestión de trámites, trazabilidad completa de solicitudes, reducción de errores en la recepción de datos, fortalecimiento de la confianza ciudadana y cumplimiento normativo.</w:t>
            </w:r>
          </w:p>
        </w:tc>
      </w:tr>
      <w:tr w:rsidR="00160081" w:rsidRPr="00160081" w14:paraId="56555ADA" w14:textId="77777777" w:rsidTr="00221BF3">
        <w:trPr>
          <w:trHeight w:val="82"/>
        </w:trPr>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743D15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654" w:type="dxa"/>
            <w:tcBorders>
              <w:top w:val="single" w:sz="4" w:space="0" w:color="auto"/>
              <w:left w:val="single" w:sz="4" w:space="0" w:color="auto"/>
              <w:bottom w:val="single" w:sz="4" w:space="0" w:color="auto"/>
              <w:right w:val="single" w:sz="4" w:space="0" w:color="auto"/>
            </w:tcBorders>
            <w:vAlign w:val="center"/>
            <w:hideMark/>
          </w:tcPr>
          <w:p w14:paraId="3FC3D1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proceso puede evolucionar hacia una recepción 100% digital en el futuro, reduciendo la dependencia de documentos físicos.</w:t>
            </w:r>
          </w:p>
        </w:tc>
      </w:tr>
    </w:tbl>
    <w:p w14:paraId="238B36D0" w14:textId="77777777" w:rsidR="00160081" w:rsidRDefault="00160081" w:rsidP="00160081">
      <w:pPr>
        <w:ind w:left="1440"/>
        <w:jc w:val="both"/>
        <w:rPr>
          <w:rFonts w:cstheme="minorHAnsi"/>
          <w:sz w:val="20"/>
          <w:szCs w:val="20"/>
        </w:rPr>
      </w:pPr>
    </w:p>
    <w:p w14:paraId="265F1FF0" w14:textId="77777777" w:rsidR="00221BF3" w:rsidRDefault="00221BF3" w:rsidP="00160081">
      <w:pPr>
        <w:ind w:left="1440"/>
        <w:jc w:val="both"/>
        <w:rPr>
          <w:rFonts w:cstheme="minorHAnsi"/>
          <w:sz w:val="20"/>
          <w:szCs w:val="20"/>
        </w:rPr>
      </w:pPr>
    </w:p>
    <w:p w14:paraId="364E031F" w14:textId="77777777" w:rsidR="00221BF3" w:rsidRDefault="00221BF3" w:rsidP="00160081">
      <w:pPr>
        <w:ind w:left="1440"/>
        <w:jc w:val="both"/>
        <w:rPr>
          <w:rFonts w:cstheme="minorHAnsi"/>
          <w:sz w:val="20"/>
          <w:szCs w:val="20"/>
        </w:rPr>
      </w:pPr>
    </w:p>
    <w:p w14:paraId="003EE652" w14:textId="77777777" w:rsidR="00221BF3" w:rsidRDefault="00221BF3" w:rsidP="00160081">
      <w:pPr>
        <w:ind w:left="1440"/>
        <w:jc w:val="both"/>
        <w:rPr>
          <w:rFonts w:cstheme="minorHAnsi"/>
          <w:sz w:val="20"/>
          <w:szCs w:val="20"/>
        </w:rPr>
      </w:pPr>
    </w:p>
    <w:p w14:paraId="657ECF24" w14:textId="77777777" w:rsidR="00221BF3" w:rsidRDefault="00221BF3" w:rsidP="00160081">
      <w:pPr>
        <w:ind w:left="1440"/>
        <w:jc w:val="both"/>
        <w:rPr>
          <w:rFonts w:cstheme="minorHAnsi"/>
          <w:sz w:val="20"/>
          <w:szCs w:val="20"/>
        </w:rPr>
      </w:pPr>
    </w:p>
    <w:p w14:paraId="67A6CBAC" w14:textId="77777777" w:rsidR="00221BF3" w:rsidRDefault="00221BF3" w:rsidP="00160081">
      <w:pPr>
        <w:ind w:left="1440"/>
        <w:jc w:val="both"/>
        <w:rPr>
          <w:rFonts w:cstheme="minorHAnsi"/>
          <w:sz w:val="20"/>
          <w:szCs w:val="20"/>
        </w:rPr>
      </w:pPr>
    </w:p>
    <w:p w14:paraId="3483E1F7" w14:textId="77777777" w:rsidR="00221BF3" w:rsidRDefault="00221BF3" w:rsidP="00160081">
      <w:pPr>
        <w:ind w:left="1440"/>
        <w:jc w:val="both"/>
        <w:rPr>
          <w:rFonts w:cstheme="minorHAnsi"/>
          <w:sz w:val="20"/>
          <w:szCs w:val="20"/>
        </w:rPr>
      </w:pPr>
    </w:p>
    <w:p w14:paraId="578EE90D" w14:textId="77777777" w:rsidR="00221BF3" w:rsidRPr="00160081" w:rsidRDefault="00221BF3" w:rsidP="00160081">
      <w:pPr>
        <w:ind w:left="1440"/>
        <w:jc w:val="both"/>
        <w:rPr>
          <w:rFonts w:cstheme="minorHAnsi"/>
          <w:sz w:val="20"/>
          <w:szCs w:val="20"/>
        </w:rPr>
      </w:pPr>
    </w:p>
    <w:p w14:paraId="2EC28655" w14:textId="77777777" w:rsidR="00160081" w:rsidRPr="00160081" w:rsidRDefault="00160081" w:rsidP="00160081">
      <w:pPr>
        <w:ind w:left="1440"/>
        <w:jc w:val="both"/>
        <w:rPr>
          <w:rFonts w:cstheme="minorHAnsi"/>
          <w:sz w:val="20"/>
          <w:szCs w:val="20"/>
        </w:rPr>
      </w:pPr>
    </w:p>
    <w:tbl>
      <w:tblPr>
        <w:tblW w:w="9291" w:type="dxa"/>
        <w:tblCellMar>
          <w:left w:w="70" w:type="dxa"/>
          <w:right w:w="70" w:type="dxa"/>
        </w:tblCellMar>
        <w:tblLook w:val="04A0" w:firstRow="1" w:lastRow="0" w:firstColumn="1" w:lastColumn="0" w:noHBand="0" w:noVBand="1"/>
      </w:tblPr>
      <w:tblGrid>
        <w:gridCol w:w="1937"/>
        <w:gridCol w:w="7354"/>
      </w:tblGrid>
      <w:tr w:rsidR="00160081" w:rsidRPr="00160081" w14:paraId="51DE5603" w14:textId="77777777" w:rsidTr="00BD3D91">
        <w:trPr>
          <w:trHeight w:val="72"/>
        </w:trPr>
        <w:tc>
          <w:tcPr>
            <w:tcW w:w="1937" w:type="dxa"/>
            <w:tcBorders>
              <w:top w:val="single" w:sz="8" w:space="0" w:color="auto"/>
              <w:left w:val="single" w:sz="8" w:space="0" w:color="auto"/>
              <w:bottom w:val="single" w:sz="4" w:space="0" w:color="auto"/>
              <w:right w:val="nil"/>
            </w:tcBorders>
            <w:shd w:val="clear" w:color="000000" w:fill="D9D9D9"/>
            <w:vAlign w:val="center"/>
            <w:hideMark/>
          </w:tcPr>
          <w:p w14:paraId="77A82A4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7354" w:type="dxa"/>
            <w:tcBorders>
              <w:top w:val="single" w:sz="8" w:space="0" w:color="auto"/>
              <w:left w:val="single" w:sz="4" w:space="0" w:color="auto"/>
              <w:bottom w:val="single" w:sz="4" w:space="0" w:color="auto"/>
              <w:right w:val="single" w:sz="8" w:space="0" w:color="auto"/>
            </w:tcBorders>
            <w:vAlign w:val="center"/>
            <w:hideMark/>
          </w:tcPr>
          <w:p w14:paraId="096A662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CU-08</w:t>
            </w:r>
          </w:p>
        </w:tc>
      </w:tr>
      <w:tr w:rsidR="00160081" w:rsidRPr="00160081" w14:paraId="51F4C194" w14:textId="77777777" w:rsidTr="00BD3D91">
        <w:trPr>
          <w:trHeight w:val="82"/>
        </w:trPr>
        <w:tc>
          <w:tcPr>
            <w:tcW w:w="1937" w:type="dxa"/>
            <w:tcBorders>
              <w:top w:val="nil"/>
              <w:left w:val="single" w:sz="8" w:space="0" w:color="auto"/>
              <w:bottom w:val="single" w:sz="4" w:space="0" w:color="auto"/>
              <w:right w:val="nil"/>
            </w:tcBorders>
            <w:shd w:val="clear" w:color="000000" w:fill="D9D9D9"/>
            <w:vAlign w:val="center"/>
            <w:hideMark/>
          </w:tcPr>
          <w:p w14:paraId="59969B7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7354" w:type="dxa"/>
            <w:tcBorders>
              <w:top w:val="nil"/>
              <w:left w:val="single" w:sz="4" w:space="0" w:color="auto"/>
              <w:bottom w:val="single" w:sz="4" w:space="0" w:color="auto"/>
              <w:right w:val="single" w:sz="8" w:space="0" w:color="auto"/>
            </w:tcBorders>
            <w:vAlign w:val="center"/>
            <w:hideMark/>
          </w:tcPr>
          <w:p w14:paraId="01D7E18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Gestión de Archivo</w:t>
            </w:r>
          </w:p>
        </w:tc>
      </w:tr>
      <w:tr w:rsidR="00160081" w:rsidRPr="00160081" w14:paraId="3B3F95F6" w14:textId="77777777" w:rsidTr="00BD3D91">
        <w:trPr>
          <w:trHeight w:val="2520"/>
        </w:trPr>
        <w:tc>
          <w:tcPr>
            <w:tcW w:w="1937" w:type="dxa"/>
            <w:tcBorders>
              <w:top w:val="nil"/>
              <w:left w:val="single" w:sz="8" w:space="0" w:color="auto"/>
              <w:bottom w:val="single" w:sz="4" w:space="0" w:color="auto"/>
              <w:right w:val="nil"/>
            </w:tcBorders>
            <w:shd w:val="clear" w:color="000000" w:fill="D9D9D9"/>
            <w:vAlign w:val="center"/>
            <w:hideMark/>
          </w:tcPr>
          <w:p w14:paraId="35B31F1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7354" w:type="dxa"/>
            <w:tcBorders>
              <w:top w:val="nil"/>
              <w:left w:val="single" w:sz="4" w:space="0" w:color="auto"/>
              <w:bottom w:val="single" w:sz="4" w:space="0" w:color="auto"/>
              <w:right w:val="single" w:sz="8" w:space="0" w:color="auto"/>
            </w:tcBorders>
            <w:vAlign w:val="center"/>
            <w:hideMark/>
          </w:tcPr>
          <w:p w14:paraId="33BB808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Administrar de manera integral los expedientes de trámites institucionales, garantizando su correcta creación, clasificación, transferencia, acceso y disposición final conforme a la normativa archivística nacional. Su propósito es asegurar la trazabilidad, organización y control documental en todas sus modalidades (física, híbrida y electrónica), facilitando a los usuarios internos la consulta, préstamo y gestión de documentos, y ejecutando la baja documental de expedientes que han cumplido su plazo de conservación.</w:t>
            </w:r>
          </w:p>
        </w:tc>
      </w:tr>
      <w:tr w:rsidR="00160081" w:rsidRPr="00160081" w14:paraId="64C39BB4" w14:textId="77777777" w:rsidTr="00BD3D91">
        <w:trPr>
          <w:trHeight w:val="82"/>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68D80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7354" w:type="dxa"/>
            <w:tcBorders>
              <w:top w:val="single" w:sz="4" w:space="0" w:color="auto"/>
              <w:left w:val="single" w:sz="4" w:space="0" w:color="auto"/>
              <w:bottom w:val="single" w:sz="4" w:space="0" w:color="auto"/>
              <w:right w:val="single" w:sz="4" w:space="0" w:color="auto"/>
            </w:tcBorders>
            <w:vAlign w:val="center"/>
            <w:hideMark/>
          </w:tcPr>
          <w:p w14:paraId="7E357B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proceso inicia con la creación automática del expediente en el sistema ECM al registrar un trámite. Los expedientes electrónicos se archivan automáticamente, mientras que los físicos e híbridos son validados y transferidos al Archivo Central con registro de ubicación. Durante su gestión, se ofrecen servicios documentales como préstamos, copias y desgloses, y finalmente, se ejecuta la baja documental de expedientes que han cumplido su plazo de conservación, liberando espacios físicos y digitales y generando un expediente de baja como evidencia.</w:t>
            </w:r>
          </w:p>
        </w:tc>
      </w:tr>
      <w:tr w:rsidR="00160081" w:rsidRPr="00160081" w14:paraId="40B2EE26" w14:textId="77777777" w:rsidTr="00BD3D91">
        <w:trPr>
          <w:trHeight w:val="3251"/>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F393C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7354" w:type="dxa"/>
            <w:tcBorders>
              <w:top w:val="single" w:sz="4" w:space="0" w:color="auto"/>
              <w:left w:val="single" w:sz="4" w:space="0" w:color="auto"/>
              <w:bottom w:val="single" w:sz="4" w:space="0" w:color="auto"/>
              <w:right w:val="single" w:sz="4" w:space="0" w:color="auto"/>
            </w:tcBorders>
            <w:vAlign w:val="center"/>
            <w:hideMark/>
          </w:tcPr>
          <w:p w14:paraId="11CB561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Trámite ingresado con su número único, que se convierte en el número del expediente.</w:t>
            </w:r>
            <w:r w:rsidRPr="00160081">
              <w:rPr>
                <w:rFonts w:cstheme="minorHAnsi"/>
                <w:color w:val="000000"/>
                <w:sz w:val="20"/>
                <w:szCs w:val="20"/>
              </w:rPr>
              <w:br/>
              <w:t>Estructura parametrizada del expediente conforme a lineamientos institucionales.</w:t>
            </w:r>
            <w:r w:rsidRPr="00160081">
              <w:rPr>
                <w:rFonts w:cstheme="minorHAnsi"/>
                <w:color w:val="000000"/>
                <w:sz w:val="20"/>
                <w:szCs w:val="20"/>
              </w:rPr>
              <w:br/>
              <w:t>Datos del contribuyente (identificación y datos básicos).</w:t>
            </w:r>
            <w:r w:rsidRPr="00160081">
              <w:rPr>
                <w:rFonts w:cstheme="minorHAnsi"/>
                <w:color w:val="000000"/>
                <w:sz w:val="20"/>
                <w:szCs w:val="20"/>
              </w:rPr>
              <w:br/>
              <w:t>Documentos asociados al trámite:</w:t>
            </w:r>
            <w:r w:rsidRPr="00160081">
              <w:rPr>
                <w:rFonts w:cstheme="minorHAnsi"/>
                <w:color w:val="000000"/>
                <w:sz w:val="20"/>
                <w:szCs w:val="20"/>
              </w:rPr>
              <w:br/>
              <w:t xml:space="preserve">Físicos (cantidad de hojas, </w:t>
            </w:r>
            <w:proofErr w:type="spellStart"/>
            <w:r w:rsidRPr="00160081">
              <w:rPr>
                <w:rFonts w:cstheme="minorHAnsi"/>
                <w:color w:val="000000"/>
                <w:sz w:val="20"/>
                <w:szCs w:val="20"/>
              </w:rPr>
              <w:t>CDs</w:t>
            </w:r>
            <w:proofErr w:type="spellEnd"/>
            <w:r w:rsidRPr="00160081">
              <w:rPr>
                <w:rFonts w:cstheme="minorHAnsi"/>
                <w:color w:val="000000"/>
                <w:sz w:val="20"/>
                <w:szCs w:val="20"/>
              </w:rPr>
              <w:t>, sobres, anillados).</w:t>
            </w:r>
            <w:r w:rsidRPr="00160081">
              <w:rPr>
                <w:rFonts w:cstheme="minorHAnsi"/>
                <w:color w:val="000000"/>
                <w:sz w:val="20"/>
                <w:szCs w:val="20"/>
              </w:rPr>
              <w:br/>
              <w:t>Electrónicos (cargados manual o automáticamente en el sistema).</w:t>
            </w:r>
            <w:r w:rsidRPr="00160081">
              <w:rPr>
                <w:rFonts w:cstheme="minorHAnsi"/>
                <w:color w:val="000000"/>
                <w:sz w:val="20"/>
                <w:szCs w:val="20"/>
              </w:rPr>
              <w:br/>
              <w:t>Expedientes físicos e híbridos seleccionados para transferencia.</w:t>
            </w:r>
            <w:r w:rsidRPr="00160081">
              <w:rPr>
                <w:rFonts w:cstheme="minorHAnsi"/>
                <w:color w:val="000000"/>
                <w:sz w:val="20"/>
                <w:szCs w:val="20"/>
              </w:rPr>
              <w:br/>
              <w:t>Solicitud de traslado hacia el Archivo Central.</w:t>
            </w:r>
            <w:r w:rsidRPr="00160081">
              <w:rPr>
                <w:rFonts w:cstheme="minorHAnsi"/>
                <w:color w:val="000000"/>
                <w:sz w:val="20"/>
                <w:szCs w:val="20"/>
              </w:rPr>
              <w:br/>
              <w:t>Datos de identificación de expedientes (número, tipo, unidad de origen).</w:t>
            </w:r>
            <w:r w:rsidRPr="00160081">
              <w:rPr>
                <w:rFonts w:cstheme="minorHAnsi"/>
                <w:color w:val="000000"/>
                <w:sz w:val="20"/>
                <w:szCs w:val="20"/>
              </w:rPr>
              <w:br/>
              <w:t>Reglas técnicas nacionales de archivo para organización y etiquetado.</w:t>
            </w:r>
            <w:r w:rsidRPr="00160081">
              <w:rPr>
                <w:rFonts w:cstheme="minorHAnsi"/>
                <w:color w:val="000000"/>
                <w:sz w:val="20"/>
                <w:szCs w:val="20"/>
              </w:rPr>
              <w:br/>
              <w:t>Solicitud de servicio documental (préstamo, copias certificadas, copias simples, desglose).</w:t>
            </w:r>
            <w:r w:rsidRPr="00160081">
              <w:rPr>
                <w:rFonts w:cstheme="minorHAnsi"/>
                <w:color w:val="000000"/>
                <w:sz w:val="20"/>
                <w:szCs w:val="20"/>
              </w:rPr>
              <w:br/>
              <w:t>Autorización de la jefatura inmediata para servicios documentales.</w:t>
            </w:r>
            <w:r w:rsidRPr="00160081">
              <w:rPr>
                <w:rFonts w:cstheme="minorHAnsi"/>
                <w:color w:val="000000"/>
                <w:sz w:val="20"/>
                <w:szCs w:val="20"/>
              </w:rPr>
              <w:br/>
              <w:t>Cuadro de clasificación documental institucional.</w:t>
            </w:r>
            <w:r w:rsidRPr="00160081">
              <w:rPr>
                <w:rFonts w:cstheme="minorHAnsi"/>
                <w:color w:val="000000"/>
                <w:sz w:val="20"/>
                <w:szCs w:val="20"/>
              </w:rPr>
              <w:br/>
              <w:t>Plazos de conservación configurados en el ECM.</w:t>
            </w:r>
            <w:r w:rsidRPr="00160081">
              <w:rPr>
                <w:rFonts w:cstheme="minorHAnsi"/>
                <w:color w:val="000000"/>
                <w:sz w:val="20"/>
                <w:szCs w:val="20"/>
              </w:rPr>
              <w:br/>
              <w:t>Ficha de baja documental para expedientes que cumplen su tiempo de conservación.</w:t>
            </w:r>
          </w:p>
        </w:tc>
      </w:tr>
      <w:tr w:rsidR="00160081" w:rsidRPr="00160081" w14:paraId="0480ED12" w14:textId="77777777" w:rsidTr="00BD3D91">
        <w:trPr>
          <w:trHeight w:val="82"/>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67055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7354" w:type="dxa"/>
            <w:tcBorders>
              <w:top w:val="single" w:sz="4" w:space="0" w:color="auto"/>
              <w:left w:val="single" w:sz="4" w:space="0" w:color="auto"/>
              <w:bottom w:val="single" w:sz="4" w:space="0" w:color="auto"/>
              <w:right w:val="single" w:sz="4" w:space="0" w:color="auto"/>
            </w:tcBorders>
            <w:vAlign w:val="center"/>
            <w:hideMark/>
          </w:tcPr>
          <w:p w14:paraId="2A43C24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Propuesta de riesgos priorizados (Mapas, radares, </w:t>
            </w:r>
            <w:proofErr w:type="spellStart"/>
            <w:r w:rsidRPr="00160081">
              <w:rPr>
                <w:rFonts w:cstheme="minorHAnsi"/>
                <w:color w:val="000000"/>
                <w:sz w:val="20"/>
                <w:szCs w:val="20"/>
              </w:rPr>
              <w:t>dashboard</w:t>
            </w:r>
            <w:proofErr w:type="spellEnd"/>
            <w:r w:rsidRPr="00160081">
              <w:rPr>
                <w:rFonts w:cstheme="minorHAnsi"/>
                <w:color w:val="000000"/>
                <w:sz w:val="20"/>
                <w:szCs w:val="20"/>
              </w:rPr>
              <w:t>, etc.)</w:t>
            </w:r>
            <w:r w:rsidRPr="00160081">
              <w:rPr>
                <w:rFonts w:cstheme="minorHAnsi"/>
                <w:color w:val="000000"/>
                <w:sz w:val="20"/>
                <w:szCs w:val="20"/>
              </w:rPr>
              <w:br/>
              <w:t>Catálogo de riesgos tributarios</w:t>
            </w:r>
            <w:r w:rsidRPr="00160081">
              <w:rPr>
                <w:rFonts w:cstheme="minorHAnsi"/>
                <w:color w:val="000000"/>
                <w:sz w:val="20"/>
                <w:szCs w:val="20"/>
              </w:rPr>
              <w:br/>
              <w:t>Programación de estrategias de tratamiento</w:t>
            </w:r>
            <w:r w:rsidRPr="00160081">
              <w:rPr>
                <w:rFonts w:cstheme="minorHAnsi"/>
                <w:color w:val="000000"/>
                <w:sz w:val="20"/>
                <w:szCs w:val="20"/>
              </w:rPr>
              <w:br/>
              <w:t xml:space="preserve">Reporte y </w:t>
            </w:r>
            <w:proofErr w:type="spellStart"/>
            <w:r w:rsidRPr="00160081">
              <w:rPr>
                <w:rFonts w:cstheme="minorHAnsi"/>
                <w:color w:val="000000"/>
                <w:sz w:val="20"/>
                <w:szCs w:val="20"/>
              </w:rPr>
              <w:t>dashboard</w:t>
            </w:r>
            <w:proofErr w:type="spellEnd"/>
            <w:r w:rsidRPr="00160081">
              <w:rPr>
                <w:rFonts w:cstheme="minorHAnsi"/>
                <w:color w:val="000000"/>
                <w:sz w:val="20"/>
                <w:szCs w:val="20"/>
              </w:rPr>
              <w:t xml:space="preserve"> de evaluación </w:t>
            </w:r>
          </w:p>
        </w:tc>
      </w:tr>
      <w:tr w:rsidR="00160081" w:rsidRPr="00160081" w14:paraId="0FA6752D" w14:textId="77777777" w:rsidTr="00BD3D91">
        <w:trPr>
          <w:trHeight w:val="82"/>
        </w:trPr>
        <w:tc>
          <w:tcPr>
            <w:tcW w:w="1937" w:type="dxa"/>
            <w:tcBorders>
              <w:top w:val="nil"/>
              <w:left w:val="single" w:sz="8" w:space="0" w:color="auto"/>
              <w:bottom w:val="single" w:sz="4" w:space="0" w:color="auto"/>
              <w:right w:val="nil"/>
            </w:tcBorders>
            <w:shd w:val="clear" w:color="000000" w:fill="D9D9D9"/>
            <w:vAlign w:val="center"/>
            <w:hideMark/>
          </w:tcPr>
          <w:p w14:paraId="611385C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7354" w:type="dxa"/>
            <w:tcBorders>
              <w:top w:val="nil"/>
              <w:left w:val="single" w:sz="4" w:space="0" w:color="auto"/>
              <w:bottom w:val="single" w:sz="4" w:space="0" w:color="auto"/>
              <w:right w:val="single" w:sz="8" w:space="0" w:color="auto"/>
            </w:tcBorders>
            <w:vAlign w:val="center"/>
            <w:hideMark/>
          </w:tcPr>
          <w:p w14:paraId="44FF427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Jefatura departamental, Coordinador, </w:t>
            </w:r>
            <w:proofErr w:type="gramStart"/>
            <w:r w:rsidRPr="00160081">
              <w:rPr>
                <w:rFonts w:cstheme="minorHAnsi"/>
                <w:color w:val="000000"/>
                <w:sz w:val="20"/>
                <w:szCs w:val="20"/>
              </w:rPr>
              <w:t>Responsable</w:t>
            </w:r>
            <w:proofErr w:type="gramEnd"/>
            <w:r w:rsidRPr="00160081">
              <w:rPr>
                <w:rFonts w:cstheme="minorHAnsi"/>
                <w:color w:val="000000"/>
                <w:sz w:val="20"/>
                <w:szCs w:val="20"/>
              </w:rPr>
              <w:t xml:space="preserve"> del Impuesto, usuario administrador</w:t>
            </w:r>
          </w:p>
        </w:tc>
      </w:tr>
      <w:tr w:rsidR="00160081" w:rsidRPr="00160081" w14:paraId="5A5B015C" w14:textId="77777777" w:rsidTr="00BD3D91">
        <w:trPr>
          <w:trHeight w:val="82"/>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FEA08E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7354" w:type="dxa"/>
            <w:tcBorders>
              <w:top w:val="single" w:sz="4" w:space="0" w:color="auto"/>
              <w:left w:val="single" w:sz="4" w:space="0" w:color="auto"/>
              <w:bottom w:val="single" w:sz="4" w:space="0" w:color="auto"/>
              <w:right w:val="single" w:sz="4" w:space="0" w:color="auto"/>
            </w:tcBorders>
            <w:vAlign w:val="center"/>
            <w:hideMark/>
          </w:tcPr>
          <w:p w14:paraId="5065542C" w14:textId="77777777" w:rsidR="00160081" w:rsidRPr="00160081" w:rsidRDefault="00160081" w:rsidP="00BD3D91">
            <w:pPr>
              <w:rPr>
                <w:rFonts w:cstheme="minorHAnsi"/>
                <w:color w:val="000000"/>
                <w:sz w:val="20"/>
                <w:szCs w:val="20"/>
              </w:rPr>
            </w:pPr>
            <w:r w:rsidRPr="00160081">
              <w:rPr>
                <w:rFonts w:cstheme="minorHAnsi"/>
                <w:color w:val="000000"/>
                <w:sz w:val="20"/>
                <w:szCs w:val="20"/>
              </w:rPr>
              <w:t>ECM (Gestor Documental): para la creación, almacenamiento y organización de expedientes en sus modalidades física, híbrida y electrónica.</w:t>
            </w:r>
            <w:r w:rsidRPr="00160081">
              <w:rPr>
                <w:rFonts w:cstheme="minorHAnsi"/>
                <w:color w:val="000000"/>
                <w:sz w:val="20"/>
                <w:szCs w:val="20"/>
              </w:rPr>
              <w:br/>
            </w:r>
            <w:r w:rsidRPr="00160081">
              <w:rPr>
                <w:rFonts w:cstheme="minorHAnsi"/>
                <w:color w:val="000000"/>
                <w:sz w:val="20"/>
                <w:szCs w:val="20"/>
              </w:rPr>
              <w:br/>
              <w:t>BPMS (Gestión de Procesos): para la interoperabilidad en la carga y seguimiento de documentos vinculados a los trámites.</w:t>
            </w:r>
            <w:r w:rsidRPr="00160081">
              <w:rPr>
                <w:rFonts w:cstheme="minorHAnsi"/>
                <w:color w:val="000000"/>
                <w:sz w:val="20"/>
                <w:szCs w:val="20"/>
              </w:rPr>
              <w:br/>
            </w:r>
            <w:r w:rsidRPr="00160081">
              <w:rPr>
                <w:rFonts w:cstheme="minorHAnsi"/>
                <w:color w:val="000000"/>
                <w:sz w:val="20"/>
                <w:szCs w:val="20"/>
              </w:rPr>
              <w:br/>
              <w:t>Generador de documentos: para la emisión de comprobantes, actas y certificaciones asociadas a los expedientes.</w:t>
            </w:r>
            <w:r w:rsidRPr="00160081">
              <w:rPr>
                <w:rFonts w:cstheme="minorHAnsi"/>
                <w:color w:val="000000"/>
                <w:sz w:val="20"/>
                <w:szCs w:val="20"/>
              </w:rPr>
              <w:br/>
            </w:r>
            <w:r w:rsidRPr="00160081">
              <w:rPr>
                <w:rFonts w:cstheme="minorHAnsi"/>
                <w:color w:val="000000"/>
                <w:sz w:val="20"/>
                <w:szCs w:val="20"/>
              </w:rPr>
              <w:br/>
              <w:t>Firma electrónica: para la validación y certificación de documentos digitales conforme a normativa vigente.</w:t>
            </w:r>
            <w:r w:rsidRPr="00160081">
              <w:rPr>
                <w:rFonts w:cstheme="minorHAnsi"/>
                <w:color w:val="000000"/>
                <w:sz w:val="20"/>
                <w:szCs w:val="20"/>
              </w:rPr>
              <w:br/>
            </w:r>
            <w:r w:rsidRPr="00160081">
              <w:rPr>
                <w:rFonts w:cstheme="minorHAnsi"/>
                <w:color w:val="000000"/>
                <w:sz w:val="20"/>
                <w:szCs w:val="20"/>
              </w:rPr>
              <w:br/>
              <w:t>Sistema Nacional de Gestión de Archivo</w:t>
            </w:r>
          </w:p>
        </w:tc>
      </w:tr>
      <w:tr w:rsidR="00160081" w:rsidRPr="00160081" w14:paraId="26D22006" w14:textId="77777777" w:rsidTr="00BD3D91">
        <w:trPr>
          <w:trHeight w:val="8190"/>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0501D6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7354" w:type="dxa"/>
            <w:tcBorders>
              <w:top w:val="single" w:sz="4" w:space="0" w:color="auto"/>
              <w:left w:val="single" w:sz="4" w:space="0" w:color="auto"/>
              <w:bottom w:val="single" w:sz="4" w:space="0" w:color="auto"/>
              <w:right w:val="single" w:sz="4" w:space="0" w:color="auto"/>
            </w:tcBorders>
            <w:vAlign w:val="center"/>
            <w:hideMark/>
          </w:tcPr>
          <w:p w14:paraId="4C8509B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Todo trámite debe generar automáticamente un expediente en el ECM con el mismo número del trámite inicial.</w:t>
            </w:r>
            <w:r w:rsidRPr="00160081">
              <w:rPr>
                <w:rFonts w:cstheme="minorHAnsi"/>
                <w:color w:val="000000"/>
                <w:sz w:val="20"/>
                <w:szCs w:val="20"/>
              </w:rPr>
              <w:br/>
              <w:t>La estructura del expediente debe ser parametrizable conforme al Procedimiento de Archivo institucional.</w:t>
            </w:r>
            <w:r w:rsidRPr="00160081">
              <w:rPr>
                <w:rFonts w:cstheme="minorHAnsi"/>
                <w:color w:val="000000"/>
                <w:sz w:val="20"/>
                <w:szCs w:val="20"/>
              </w:rPr>
              <w:br/>
              <w:t>Los expedientes electrónicos se cierran automáticamente al finalizar el documento final.</w:t>
            </w:r>
            <w:r w:rsidRPr="00160081">
              <w:rPr>
                <w:rFonts w:cstheme="minorHAnsi"/>
                <w:color w:val="000000"/>
                <w:sz w:val="20"/>
                <w:szCs w:val="20"/>
              </w:rPr>
              <w:br/>
              <w:t>Los expedientes híbridos y físicos requieren validación del responsable de archivo antes de ser enviados al Archivo Central.</w:t>
            </w:r>
            <w:r w:rsidRPr="00160081">
              <w:rPr>
                <w:rFonts w:cstheme="minorHAnsi"/>
                <w:color w:val="000000"/>
                <w:sz w:val="20"/>
                <w:szCs w:val="20"/>
              </w:rPr>
              <w:br/>
              <w:t>La carga de documentos puede ser automática o manual, pero siempre debe quedar registrada en el sistema.</w:t>
            </w:r>
            <w:r w:rsidRPr="00160081">
              <w:rPr>
                <w:rFonts w:cstheme="minorHAnsi"/>
                <w:color w:val="000000"/>
                <w:sz w:val="20"/>
                <w:szCs w:val="20"/>
              </w:rPr>
              <w:br/>
              <w:t>Solo los expedientes físicos e híbridos pueden ser transferidos al Archivo Central.</w:t>
            </w:r>
            <w:r w:rsidRPr="00160081">
              <w:rPr>
                <w:rFonts w:cstheme="minorHAnsi"/>
                <w:color w:val="000000"/>
                <w:sz w:val="20"/>
                <w:szCs w:val="20"/>
              </w:rPr>
              <w:br/>
              <w:t>La revisión de expedientes debe realizarse por un usuario del Archivo Central antes de su aceptación.</w:t>
            </w:r>
            <w:r w:rsidRPr="00160081">
              <w:rPr>
                <w:rFonts w:cstheme="minorHAnsi"/>
                <w:color w:val="000000"/>
                <w:sz w:val="20"/>
                <w:szCs w:val="20"/>
              </w:rPr>
              <w:br/>
              <w:t>Las etiquetas de carpetas y cajas deben generarse conforme a la Regla Técnica Nacional de Archivos Públicos.</w:t>
            </w:r>
            <w:r w:rsidRPr="00160081">
              <w:rPr>
                <w:rFonts w:cstheme="minorHAnsi"/>
                <w:color w:val="000000"/>
                <w:sz w:val="20"/>
                <w:szCs w:val="20"/>
              </w:rPr>
              <w:br/>
              <w:t>La ubicación física de las cajas debe quedar registrada en el sistema para consulta posterior.</w:t>
            </w:r>
            <w:r w:rsidRPr="00160081">
              <w:rPr>
                <w:rFonts w:cstheme="minorHAnsi"/>
                <w:color w:val="000000"/>
                <w:sz w:val="20"/>
                <w:szCs w:val="20"/>
              </w:rPr>
              <w:br/>
              <w:t>Toda solicitud de servicio documental debe ser autorizada por la jefatura inmediata.</w:t>
            </w:r>
            <w:r w:rsidRPr="00160081">
              <w:rPr>
                <w:rFonts w:cstheme="minorHAnsi"/>
                <w:color w:val="000000"/>
                <w:sz w:val="20"/>
                <w:szCs w:val="20"/>
              </w:rPr>
              <w:br/>
              <w:t>El préstamo documental físico requiere acta conforme a la normativa nacional.</w:t>
            </w:r>
            <w:r w:rsidRPr="00160081">
              <w:rPr>
                <w:rFonts w:cstheme="minorHAnsi"/>
                <w:color w:val="000000"/>
                <w:sz w:val="20"/>
                <w:szCs w:val="20"/>
              </w:rPr>
              <w:br/>
              <w:t>Las copias certificadas electrónicas deben incluir carátula de certificación firmada electrónicamente.</w:t>
            </w:r>
            <w:r w:rsidRPr="00160081">
              <w:rPr>
                <w:rFonts w:cstheme="minorHAnsi"/>
                <w:color w:val="000000"/>
                <w:sz w:val="20"/>
                <w:szCs w:val="20"/>
              </w:rPr>
              <w:br/>
              <w:t>Las copias certificadas físicas deben registrar la cantidad de hojas certificadas entregadas.</w:t>
            </w:r>
            <w:r w:rsidRPr="00160081">
              <w:rPr>
                <w:rFonts w:cstheme="minorHAnsi"/>
                <w:color w:val="000000"/>
                <w:sz w:val="20"/>
                <w:szCs w:val="20"/>
              </w:rPr>
              <w:br/>
              <w:t>El desglose de documentos debe generar y guardar una copia certificada en el expediente.</w:t>
            </w:r>
            <w:r w:rsidRPr="00160081">
              <w:rPr>
                <w:rFonts w:cstheme="minorHAnsi"/>
                <w:color w:val="000000"/>
                <w:sz w:val="20"/>
                <w:szCs w:val="20"/>
              </w:rPr>
              <w:br/>
              <w:t>Todo servicio documental debe quedar registrado con trazabilidad y auditoría.</w:t>
            </w:r>
            <w:r w:rsidRPr="00160081">
              <w:rPr>
                <w:rFonts w:cstheme="minorHAnsi"/>
                <w:color w:val="000000"/>
                <w:sz w:val="20"/>
                <w:szCs w:val="20"/>
              </w:rPr>
              <w:br/>
              <w:t>El flujo de baja documental inicia automáticamente al cumplirse el plazo de conservación configurado en el ECM.</w:t>
            </w:r>
            <w:r w:rsidRPr="00160081">
              <w:rPr>
                <w:rFonts w:cstheme="minorHAnsi"/>
                <w:color w:val="000000"/>
                <w:sz w:val="20"/>
                <w:szCs w:val="20"/>
              </w:rPr>
              <w:br/>
              <w:t>Cada año se debe realizar la baja documental a nivel nacional.</w:t>
            </w:r>
            <w:r w:rsidRPr="00160081">
              <w:rPr>
                <w:rFonts w:cstheme="minorHAnsi"/>
                <w:color w:val="000000"/>
                <w:sz w:val="20"/>
                <w:szCs w:val="20"/>
              </w:rPr>
              <w:br/>
              <w:t>El inventario en Excel de expedientes a eliminar debe generarse conforme a la Regla Técnica Nacional de Archivo.</w:t>
            </w:r>
            <w:r w:rsidRPr="00160081">
              <w:rPr>
                <w:rFonts w:cstheme="minorHAnsi"/>
                <w:color w:val="000000"/>
                <w:sz w:val="20"/>
                <w:szCs w:val="20"/>
              </w:rPr>
              <w:br/>
              <w:t>Solo los expedientes revisados y dictaminados pueden cambiar al estado “Baja Documental”.</w:t>
            </w:r>
          </w:p>
        </w:tc>
      </w:tr>
      <w:tr w:rsidR="00160081" w:rsidRPr="00160081" w14:paraId="4ED761D7" w14:textId="77777777" w:rsidTr="00BD3D91">
        <w:trPr>
          <w:trHeight w:val="918"/>
        </w:trPr>
        <w:tc>
          <w:tcPr>
            <w:tcW w:w="1937" w:type="dxa"/>
            <w:tcBorders>
              <w:top w:val="nil"/>
              <w:left w:val="single" w:sz="8" w:space="0" w:color="auto"/>
              <w:bottom w:val="single" w:sz="4" w:space="0" w:color="auto"/>
              <w:right w:val="nil"/>
            </w:tcBorders>
            <w:shd w:val="clear" w:color="000000" w:fill="D9D9D9"/>
            <w:vAlign w:val="center"/>
            <w:hideMark/>
          </w:tcPr>
          <w:p w14:paraId="662353A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7354" w:type="dxa"/>
            <w:tcBorders>
              <w:top w:val="nil"/>
              <w:left w:val="single" w:sz="4" w:space="0" w:color="auto"/>
              <w:bottom w:val="single" w:sz="4" w:space="0" w:color="auto"/>
              <w:right w:val="single" w:sz="8" w:space="0" w:color="auto"/>
            </w:tcBorders>
            <w:vAlign w:val="center"/>
            <w:hideMark/>
          </w:tcPr>
          <w:p w14:paraId="744D26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Catálogo de Series documentales</w:t>
            </w:r>
            <w:r w:rsidRPr="00160081">
              <w:rPr>
                <w:rFonts w:cstheme="minorHAnsi"/>
                <w:color w:val="000000"/>
                <w:sz w:val="20"/>
                <w:szCs w:val="20"/>
              </w:rPr>
              <w:br/>
              <w:t>Catálogo de Servicios institucionales</w:t>
            </w:r>
            <w:r w:rsidRPr="00160081">
              <w:rPr>
                <w:rFonts w:cstheme="minorHAnsi"/>
                <w:color w:val="000000"/>
                <w:sz w:val="20"/>
                <w:szCs w:val="20"/>
              </w:rPr>
              <w:br/>
              <w:t>Catálogo de requisitos</w:t>
            </w:r>
            <w:r w:rsidRPr="00160081">
              <w:rPr>
                <w:rFonts w:cstheme="minorHAnsi"/>
                <w:color w:val="000000"/>
                <w:sz w:val="20"/>
                <w:szCs w:val="20"/>
              </w:rPr>
              <w:br/>
              <w:t>Tipos de expedientes</w:t>
            </w:r>
            <w:r w:rsidRPr="00160081">
              <w:rPr>
                <w:rFonts w:cstheme="minorHAnsi"/>
                <w:color w:val="000000"/>
                <w:sz w:val="20"/>
                <w:szCs w:val="20"/>
              </w:rPr>
              <w:br/>
              <w:t>Catálogo de documentos</w:t>
            </w:r>
            <w:r w:rsidRPr="00160081">
              <w:rPr>
                <w:rFonts w:cstheme="minorHAnsi"/>
                <w:color w:val="000000"/>
                <w:sz w:val="20"/>
                <w:szCs w:val="20"/>
              </w:rPr>
              <w:br/>
              <w:t>Cuadro de clasificación documental, plazos de conservación, expedientes físicos, híbridos y electrónicos, normativa archivística nacional, dictamen de baja.</w:t>
            </w:r>
          </w:p>
        </w:tc>
      </w:tr>
      <w:tr w:rsidR="00160081" w:rsidRPr="00160081" w14:paraId="451C6612" w14:textId="77777777" w:rsidTr="00BD3D91">
        <w:trPr>
          <w:trHeight w:val="558"/>
        </w:trPr>
        <w:tc>
          <w:tcPr>
            <w:tcW w:w="1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7D1523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7354" w:type="dxa"/>
            <w:tcBorders>
              <w:top w:val="single" w:sz="4" w:space="0" w:color="auto"/>
              <w:left w:val="single" w:sz="4" w:space="0" w:color="auto"/>
              <w:bottom w:val="single" w:sz="4" w:space="0" w:color="auto"/>
              <w:right w:val="single" w:sz="4" w:space="0" w:color="auto"/>
            </w:tcBorders>
            <w:vAlign w:val="center"/>
            <w:hideMark/>
          </w:tcPr>
          <w:p w14:paraId="744CE5E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Se requiere un servicio que permita unir documentos en un único archivo PDF, asegurando integridad del expediente.</w:t>
            </w:r>
            <w:r w:rsidRPr="00160081">
              <w:rPr>
                <w:rFonts w:cstheme="minorHAnsi"/>
                <w:color w:val="000000"/>
                <w:sz w:val="20"/>
                <w:szCs w:val="20"/>
              </w:rPr>
              <w:br/>
              <w:t>La firma electrónica debe estar embebida en la herramienta para garantizar validez legal y autenticidad, y debe ser validada por FIRMA EC conforme a la normativa vigente.</w:t>
            </w:r>
          </w:p>
        </w:tc>
      </w:tr>
      <w:tr w:rsidR="00160081" w:rsidRPr="00160081" w14:paraId="3A71ACD2" w14:textId="77777777" w:rsidTr="00BD3D91">
        <w:trPr>
          <w:trHeight w:val="82"/>
        </w:trPr>
        <w:tc>
          <w:tcPr>
            <w:tcW w:w="1937" w:type="dxa"/>
            <w:tcBorders>
              <w:top w:val="nil"/>
              <w:left w:val="single" w:sz="8" w:space="0" w:color="auto"/>
              <w:bottom w:val="single" w:sz="4" w:space="0" w:color="auto"/>
              <w:right w:val="nil"/>
            </w:tcBorders>
            <w:shd w:val="clear" w:color="000000" w:fill="D9D9D9"/>
            <w:vAlign w:val="center"/>
            <w:hideMark/>
          </w:tcPr>
          <w:p w14:paraId="6D849F5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7354" w:type="dxa"/>
            <w:tcBorders>
              <w:top w:val="nil"/>
              <w:left w:val="single" w:sz="4" w:space="0" w:color="auto"/>
              <w:bottom w:val="single" w:sz="4" w:space="0" w:color="auto"/>
              <w:right w:val="single" w:sz="8" w:space="0" w:color="auto"/>
            </w:tcBorders>
            <w:vAlign w:val="center"/>
            <w:hideMark/>
          </w:tcPr>
          <w:p w14:paraId="13E1046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Matriz de dimensionamiento</w:t>
            </w:r>
          </w:p>
        </w:tc>
      </w:tr>
      <w:tr w:rsidR="00160081" w:rsidRPr="00160081" w14:paraId="5BC95CA1" w14:textId="77777777" w:rsidTr="00BD3D91">
        <w:trPr>
          <w:trHeight w:val="82"/>
        </w:trPr>
        <w:tc>
          <w:tcPr>
            <w:tcW w:w="1937" w:type="dxa"/>
            <w:tcBorders>
              <w:top w:val="nil"/>
              <w:left w:val="single" w:sz="8" w:space="0" w:color="auto"/>
              <w:bottom w:val="single" w:sz="4" w:space="0" w:color="auto"/>
              <w:right w:val="nil"/>
            </w:tcBorders>
            <w:shd w:val="clear" w:color="000000" w:fill="D9D9D9"/>
            <w:vAlign w:val="center"/>
            <w:hideMark/>
          </w:tcPr>
          <w:p w14:paraId="35FFB4E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7354" w:type="dxa"/>
            <w:tcBorders>
              <w:top w:val="nil"/>
              <w:left w:val="single" w:sz="4" w:space="0" w:color="auto"/>
              <w:bottom w:val="single" w:sz="4" w:space="0" w:color="auto"/>
              <w:right w:val="single" w:sz="8" w:space="0" w:color="auto"/>
            </w:tcBorders>
            <w:vAlign w:val="center"/>
            <w:hideMark/>
          </w:tcPr>
          <w:p w14:paraId="2DCAE5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Regla técnica nacional de administración y organización de archivos públicos, Procedimiento institucional de archivo.</w:t>
            </w:r>
          </w:p>
        </w:tc>
      </w:tr>
      <w:tr w:rsidR="00160081" w:rsidRPr="00160081" w14:paraId="635DF215" w14:textId="77777777" w:rsidTr="00BD3D91">
        <w:trPr>
          <w:trHeight w:val="1575"/>
        </w:trPr>
        <w:tc>
          <w:tcPr>
            <w:tcW w:w="1937" w:type="dxa"/>
            <w:tcBorders>
              <w:top w:val="nil"/>
              <w:left w:val="single" w:sz="8" w:space="0" w:color="auto"/>
              <w:bottom w:val="single" w:sz="4" w:space="0" w:color="auto"/>
              <w:right w:val="nil"/>
            </w:tcBorders>
            <w:shd w:val="clear" w:color="000000" w:fill="D9D9D9"/>
            <w:vAlign w:val="center"/>
            <w:hideMark/>
          </w:tcPr>
          <w:p w14:paraId="56F375E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7354" w:type="dxa"/>
            <w:tcBorders>
              <w:top w:val="nil"/>
              <w:left w:val="single" w:sz="4" w:space="0" w:color="auto"/>
              <w:bottom w:val="single" w:sz="4" w:space="0" w:color="auto"/>
              <w:right w:val="single" w:sz="8" w:space="0" w:color="auto"/>
            </w:tcBorders>
            <w:vAlign w:val="center"/>
            <w:hideMark/>
          </w:tcPr>
          <w:p w14:paraId="54FF5B49" w14:textId="77777777" w:rsidR="00160081" w:rsidRPr="00160081" w:rsidRDefault="00160081" w:rsidP="00BD3D91">
            <w:pPr>
              <w:rPr>
                <w:rFonts w:cstheme="minorHAnsi"/>
                <w:color w:val="000000"/>
                <w:sz w:val="20"/>
                <w:szCs w:val="20"/>
              </w:rPr>
            </w:pPr>
            <w:r w:rsidRPr="00160081">
              <w:rPr>
                <w:rFonts w:cstheme="minorHAnsi"/>
                <w:color w:val="000000"/>
                <w:sz w:val="20"/>
                <w:szCs w:val="20"/>
              </w:rPr>
              <w:t>La institución obtiene una gestión documental integral, segura y transparente, que asegura la correcta creación, organización, conservación y disposición final de los expedientes en todas sus modalidades (física, híbrida y electrónica). Con este caso de uso, se garantiza la trazabilidad completa de cada expediente, desde el trámite inicial hasta su baja documental y el cumplimiento de la normativa archivística nacional.</w:t>
            </w:r>
          </w:p>
        </w:tc>
      </w:tr>
      <w:tr w:rsidR="00160081" w:rsidRPr="00160081" w14:paraId="5005BD4F" w14:textId="77777777" w:rsidTr="00BD3D91">
        <w:trPr>
          <w:trHeight w:val="82"/>
        </w:trPr>
        <w:tc>
          <w:tcPr>
            <w:tcW w:w="1937" w:type="dxa"/>
            <w:tcBorders>
              <w:top w:val="nil"/>
              <w:left w:val="single" w:sz="8" w:space="0" w:color="auto"/>
              <w:bottom w:val="single" w:sz="8" w:space="0" w:color="auto"/>
              <w:right w:val="nil"/>
            </w:tcBorders>
            <w:shd w:val="clear" w:color="000000" w:fill="D9D9D9"/>
            <w:vAlign w:val="center"/>
            <w:hideMark/>
          </w:tcPr>
          <w:p w14:paraId="261D056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7354" w:type="dxa"/>
            <w:tcBorders>
              <w:top w:val="nil"/>
              <w:left w:val="single" w:sz="4" w:space="0" w:color="auto"/>
              <w:bottom w:val="single" w:sz="8" w:space="0" w:color="auto"/>
              <w:right w:val="single" w:sz="8" w:space="0" w:color="auto"/>
            </w:tcBorders>
            <w:vAlign w:val="center"/>
            <w:hideMark/>
          </w:tcPr>
          <w:p w14:paraId="4265A20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Este caso de uso puede evolucionar hacia una gestión documental 100% electrónica, reduciendo la dependencia de expedientes físicos e híbridos.</w:t>
            </w:r>
          </w:p>
        </w:tc>
      </w:tr>
    </w:tbl>
    <w:p w14:paraId="073C6694" w14:textId="77777777" w:rsidR="00160081" w:rsidRPr="00160081" w:rsidRDefault="00160081" w:rsidP="00160081">
      <w:pPr>
        <w:ind w:left="1440"/>
        <w:jc w:val="both"/>
        <w:rPr>
          <w:rFonts w:cstheme="minorHAnsi"/>
          <w:sz w:val="20"/>
          <w:szCs w:val="20"/>
        </w:rPr>
      </w:pPr>
    </w:p>
    <w:tbl>
      <w:tblPr>
        <w:tblW w:w="58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1"/>
        <w:gridCol w:w="7699"/>
      </w:tblGrid>
      <w:tr w:rsidR="00160081" w:rsidRPr="00160081" w14:paraId="22EB4E94" w14:textId="77777777" w:rsidTr="00221BF3">
        <w:trPr>
          <w:trHeight w:val="72"/>
        </w:trPr>
        <w:tc>
          <w:tcPr>
            <w:tcW w:w="883" w:type="pct"/>
            <w:shd w:val="clear" w:color="000000" w:fill="D9D9D9"/>
            <w:vAlign w:val="center"/>
            <w:hideMark/>
          </w:tcPr>
          <w:p w14:paraId="3337FE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Código</w:t>
            </w:r>
          </w:p>
        </w:tc>
        <w:tc>
          <w:tcPr>
            <w:tcW w:w="4117" w:type="pct"/>
            <w:vAlign w:val="center"/>
            <w:hideMark/>
          </w:tcPr>
          <w:p w14:paraId="0623B53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CU-09</w:t>
            </w:r>
          </w:p>
        </w:tc>
      </w:tr>
      <w:tr w:rsidR="00160081" w:rsidRPr="00160081" w14:paraId="0E44819A" w14:textId="77777777" w:rsidTr="00221BF3">
        <w:trPr>
          <w:trHeight w:val="82"/>
        </w:trPr>
        <w:tc>
          <w:tcPr>
            <w:tcW w:w="883" w:type="pct"/>
            <w:shd w:val="clear" w:color="000000" w:fill="D9D9D9"/>
            <w:vAlign w:val="center"/>
            <w:hideMark/>
          </w:tcPr>
          <w:p w14:paraId="3832509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Nombre</w:t>
            </w:r>
          </w:p>
        </w:tc>
        <w:tc>
          <w:tcPr>
            <w:tcW w:w="4117" w:type="pct"/>
            <w:vAlign w:val="center"/>
            <w:hideMark/>
          </w:tcPr>
          <w:p w14:paraId="7D49AB7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Expediente integral</w:t>
            </w:r>
          </w:p>
        </w:tc>
      </w:tr>
      <w:tr w:rsidR="00160081" w:rsidRPr="00160081" w14:paraId="13D961D3" w14:textId="77777777" w:rsidTr="00221BF3">
        <w:trPr>
          <w:trHeight w:val="741"/>
        </w:trPr>
        <w:tc>
          <w:tcPr>
            <w:tcW w:w="883" w:type="pct"/>
            <w:shd w:val="clear" w:color="000000" w:fill="D9D9D9"/>
            <w:vAlign w:val="center"/>
            <w:hideMark/>
          </w:tcPr>
          <w:p w14:paraId="752CA46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Objetivo</w:t>
            </w:r>
          </w:p>
        </w:tc>
        <w:tc>
          <w:tcPr>
            <w:tcW w:w="4117" w:type="pct"/>
            <w:vAlign w:val="center"/>
            <w:hideMark/>
          </w:tcPr>
          <w:p w14:paraId="4CAC94E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Proporcionar a los usuarios internos del SRI una herramienta centralizada y segura que permita consultar, gestionar y dar seguimiento a la información relacionada con los trámites, archivos documentales y notificaciones del contribuyente, integrando datos provenientes de los sistemas institucionales (BPMS, ECM, Catastro Tributario y Sistema de Notificaciones).</w:t>
            </w:r>
          </w:p>
        </w:tc>
      </w:tr>
      <w:tr w:rsidR="00160081" w:rsidRPr="00160081" w14:paraId="54701D65" w14:textId="77777777" w:rsidTr="00221BF3">
        <w:trPr>
          <w:trHeight w:val="82"/>
        </w:trPr>
        <w:tc>
          <w:tcPr>
            <w:tcW w:w="883" w:type="pct"/>
            <w:shd w:val="clear" w:color="000000" w:fill="D9D9D9"/>
            <w:vAlign w:val="center"/>
            <w:hideMark/>
          </w:tcPr>
          <w:p w14:paraId="158A917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funcional</w:t>
            </w:r>
          </w:p>
        </w:tc>
        <w:tc>
          <w:tcPr>
            <w:tcW w:w="4117" w:type="pct"/>
            <w:vAlign w:val="center"/>
            <w:hideMark/>
          </w:tcPr>
          <w:p w14:paraId="7FFAD2A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expediente integral inicia cuando un usuario interno autorizado consulta la información de un contribuyente, centralizando información general pública (Catastro tributario), trámites, documentos y notificaciones en un solo entorno con trazabilidad y evidencia. Finalmente, la información consolidada se presenta y se entrega de manera ordenada y transparente, garantizando una visión única del contribuyente para la gestión interna.</w:t>
            </w:r>
          </w:p>
        </w:tc>
      </w:tr>
      <w:tr w:rsidR="00160081" w:rsidRPr="00160081" w14:paraId="7D8ECCCD" w14:textId="77777777" w:rsidTr="00221BF3">
        <w:trPr>
          <w:trHeight w:val="82"/>
        </w:trPr>
        <w:tc>
          <w:tcPr>
            <w:tcW w:w="883" w:type="pct"/>
            <w:shd w:val="clear" w:color="000000" w:fill="D9D9D9"/>
            <w:vAlign w:val="center"/>
            <w:hideMark/>
          </w:tcPr>
          <w:p w14:paraId="6C24858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Entradas requeridas</w:t>
            </w:r>
          </w:p>
        </w:tc>
        <w:tc>
          <w:tcPr>
            <w:tcW w:w="4117" w:type="pct"/>
            <w:vAlign w:val="center"/>
            <w:hideMark/>
          </w:tcPr>
          <w:p w14:paraId="5023841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ID del contribuyente, tipo de trámite a consultar, credenciales de acceso de usuario interno.</w:t>
            </w:r>
          </w:p>
        </w:tc>
      </w:tr>
      <w:tr w:rsidR="00160081" w:rsidRPr="00160081" w14:paraId="1E49D40F" w14:textId="77777777" w:rsidTr="00221BF3">
        <w:trPr>
          <w:trHeight w:val="82"/>
        </w:trPr>
        <w:tc>
          <w:tcPr>
            <w:tcW w:w="883" w:type="pct"/>
            <w:shd w:val="clear" w:color="000000" w:fill="D9D9D9"/>
            <w:vAlign w:val="center"/>
            <w:hideMark/>
          </w:tcPr>
          <w:p w14:paraId="6A53D6F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Salidas esperadas</w:t>
            </w:r>
          </w:p>
        </w:tc>
        <w:tc>
          <w:tcPr>
            <w:tcW w:w="4117" w:type="pct"/>
            <w:vAlign w:val="center"/>
            <w:hideMark/>
          </w:tcPr>
          <w:p w14:paraId="2D6BDEA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Información pública del contribuyente, listado de trámites ingresados, expedientes documentales completos, trazabilidad de cada trámite, fechas y medios de notificación de documentos.</w:t>
            </w:r>
          </w:p>
        </w:tc>
      </w:tr>
      <w:tr w:rsidR="00160081" w:rsidRPr="00160081" w14:paraId="2960AE01" w14:textId="77777777" w:rsidTr="00221BF3">
        <w:trPr>
          <w:trHeight w:val="82"/>
        </w:trPr>
        <w:tc>
          <w:tcPr>
            <w:tcW w:w="883" w:type="pct"/>
            <w:shd w:val="clear" w:color="000000" w:fill="D9D9D9"/>
            <w:vAlign w:val="center"/>
            <w:hideMark/>
          </w:tcPr>
          <w:p w14:paraId="1159150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Actores/Roles involucrados</w:t>
            </w:r>
          </w:p>
        </w:tc>
        <w:tc>
          <w:tcPr>
            <w:tcW w:w="4117" w:type="pct"/>
            <w:vAlign w:val="center"/>
            <w:hideMark/>
          </w:tcPr>
          <w:p w14:paraId="21893FC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Usuarios internos del SRI con perfil autorizado.</w:t>
            </w:r>
          </w:p>
        </w:tc>
      </w:tr>
      <w:tr w:rsidR="00160081" w:rsidRPr="00160081" w14:paraId="74B9AAE0" w14:textId="77777777" w:rsidTr="00221BF3">
        <w:trPr>
          <w:trHeight w:val="82"/>
        </w:trPr>
        <w:tc>
          <w:tcPr>
            <w:tcW w:w="883" w:type="pct"/>
            <w:shd w:val="clear" w:color="000000" w:fill="D9D9D9"/>
            <w:vAlign w:val="center"/>
            <w:hideMark/>
          </w:tcPr>
          <w:p w14:paraId="7D0027B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Integraciones requeridas</w:t>
            </w:r>
          </w:p>
        </w:tc>
        <w:tc>
          <w:tcPr>
            <w:tcW w:w="4117" w:type="pct"/>
            <w:vAlign w:val="center"/>
            <w:hideMark/>
          </w:tcPr>
          <w:p w14:paraId="0A017387" w14:textId="77777777" w:rsidR="00160081" w:rsidRPr="00160081" w:rsidRDefault="00160081" w:rsidP="00BD3D91">
            <w:pPr>
              <w:rPr>
                <w:rFonts w:cstheme="minorHAnsi"/>
                <w:color w:val="000000"/>
                <w:sz w:val="20"/>
                <w:szCs w:val="20"/>
              </w:rPr>
            </w:pPr>
            <w:r w:rsidRPr="00160081">
              <w:rPr>
                <w:rFonts w:cstheme="minorHAnsi"/>
                <w:color w:val="000000"/>
                <w:sz w:val="20"/>
                <w:szCs w:val="20"/>
              </w:rPr>
              <w:t>BPMS (trazabilidad y cantidad de trámites), ECM (documentos de cada trámite), Catastro Tributario (información pública del contribuyente), Sistema de Notificaciones (fechas y medios de notificación).</w:t>
            </w:r>
          </w:p>
        </w:tc>
      </w:tr>
      <w:tr w:rsidR="00160081" w:rsidRPr="00160081" w14:paraId="37E83268" w14:textId="77777777" w:rsidTr="00221BF3">
        <w:trPr>
          <w:trHeight w:val="82"/>
        </w:trPr>
        <w:tc>
          <w:tcPr>
            <w:tcW w:w="883" w:type="pct"/>
            <w:shd w:val="clear" w:color="000000" w:fill="D9D9D9"/>
            <w:vAlign w:val="center"/>
            <w:hideMark/>
          </w:tcPr>
          <w:p w14:paraId="11DD535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Reglas de Negocio principales</w:t>
            </w:r>
          </w:p>
        </w:tc>
        <w:tc>
          <w:tcPr>
            <w:tcW w:w="4117" w:type="pct"/>
            <w:vAlign w:val="center"/>
            <w:hideMark/>
          </w:tcPr>
          <w:p w14:paraId="72D386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Solo usuarios con perfil autorizado pueden acceder a la visión integral.</w:t>
            </w:r>
            <w:r w:rsidRPr="00160081">
              <w:rPr>
                <w:rFonts w:cstheme="minorHAnsi"/>
                <w:color w:val="000000"/>
                <w:sz w:val="20"/>
                <w:szCs w:val="20"/>
              </w:rPr>
              <w:br/>
              <w:t>- Toda la información debe mostrarse de manera consolidada y trazable.</w:t>
            </w:r>
          </w:p>
        </w:tc>
      </w:tr>
      <w:tr w:rsidR="00160081" w:rsidRPr="00160081" w14:paraId="56951015" w14:textId="77777777" w:rsidTr="00221BF3">
        <w:trPr>
          <w:trHeight w:val="82"/>
        </w:trPr>
        <w:tc>
          <w:tcPr>
            <w:tcW w:w="883" w:type="pct"/>
            <w:shd w:val="clear" w:color="000000" w:fill="D9D9D9"/>
            <w:vAlign w:val="center"/>
            <w:hideMark/>
          </w:tcPr>
          <w:p w14:paraId="61E28D0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Insumos de información</w:t>
            </w:r>
          </w:p>
        </w:tc>
        <w:tc>
          <w:tcPr>
            <w:tcW w:w="4117" w:type="pct"/>
            <w:vAlign w:val="center"/>
            <w:hideMark/>
          </w:tcPr>
          <w:p w14:paraId="4B49502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Datos del Catastro Tributario, trámites registrados en BPMS, documentos almacenados en ECM, registros del Sistema de Notificaciones.</w:t>
            </w:r>
          </w:p>
        </w:tc>
      </w:tr>
      <w:tr w:rsidR="00160081" w:rsidRPr="00160081" w14:paraId="2AEB08EC" w14:textId="77777777" w:rsidTr="00221BF3">
        <w:trPr>
          <w:trHeight w:val="82"/>
        </w:trPr>
        <w:tc>
          <w:tcPr>
            <w:tcW w:w="883" w:type="pct"/>
            <w:shd w:val="clear" w:color="000000" w:fill="D9D9D9"/>
            <w:vAlign w:val="center"/>
            <w:hideMark/>
          </w:tcPr>
          <w:p w14:paraId="2F96D1A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Requerimientos especiales</w:t>
            </w:r>
          </w:p>
        </w:tc>
        <w:tc>
          <w:tcPr>
            <w:tcW w:w="4117" w:type="pct"/>
            <w:vAlign w:val="center"/>
            <w:hideMark/>
          </w:tcPr>
          <w:p w14:paraId="47F55C8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El sistema debe garantizar seguridad en el acceso, interoperabilidad entre BPMS, ECM, Catastro y Notificaciones, y trazabilidad completa de trámites y documentos.</w:t>
            </w:r>
          </w:p>
        </w:tc>
      </w:tr>
      <w:tr w:rsidR="00160081" w:rsidRPr="00160081" w14:paraId="5B7BBB62" w14:textId="77777777" w:rsidTr="00221BF3">
        <w:trPr>
          <w:trHeight w:val="82"/>
        </w:trPr>
        <w:tc>
          <w:tcPr>
            <w:tcW w:w="883" w:type="pct"/>
            <w:shd w:val="clear" w:color="000000" w:fill="D9D9D9"/>
            <w:vAlign w:val="center"/>
            <w:hideMark/>
          </w:tcPr>
          <w:p w14:paraId="15C21ED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Frecuencia y volumen aproximado</w:t>
            </w:r>
          </w:p>
        </w:tc>
        <w:tc>
          <w:tcPr>
            <w:tcW w:w="4117" w:type="pct"/>
            <w:vAlign w:val="center"/>
            <w:hideMark/>
          </w:tcPr>
          <w:p w14:paraId="53255D5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Consultas frecuentes tanto por contribuyentes como por usuarios internos; volumen alto debido a la cantidad de trámites gestionados diariamente.</w:t>
            </w:r>
          </w:p>
        </w:tc>
      </w:tr>
      <w:tr w:rsidR="00160081" w:rsidRPr="00160081" w14:paraId="062E8709" w14:textId="77777777" w:rsidTr="00221BF3">
        <w:trPr>
          <w:trHeight w:val="82"/>
        </w:trPr>
        <w:tc>
          <w:tcPr>
            <w:tcW w:w="883" w:type="pct"/>
            <w:shd w:val="clear" w:color="000000" w:fill="D9D9D9"/>
            <w:vAlign w:val="center"/>
            <w:hideMark/>
          </w:tcPr>
          <w:p w14:paraId="34D08F7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Dependencias normativas</w:t>
            </w:r>
          </w:p>
        </w:tc>
        <w:tc>
          <w:tcPr>
            <w:tcW w:w="4117" w:type="pct"/>
            <w:vAlign w:val="center"/>
            <w:hideMark/>
          </w:tcPr>
          <w:p w14:paraId="401BD10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Normativa tributaria vigente, lineamientos institucionales de gestión documental y trazabilidad, políticas de seguridad de la información.</w:t>
            </w:r>
          </w:p>
        </w:tc>
      </w:tr>
      <w:tr w:rsidR="00160081" w:rsidRPr="00160081" w14:paraId="3B3EADE5" w14:textId="77777777" w:rsidTr="00221BF3">
        <w:trPr>
          <w:trHeight w:val="980"/>
        </w:trPr>
        <w:tc>
          <w:tcPr>
            <w:tcW w:w="883" w:type="pct"/>
            <w:shd w:val="clear" w:color="000000" w:fill="D9D9D9"/>
            <w:vAlign w:val="center"/>
            <w:hideMark/>
          </w:tcPr>
          <w:p w14:paraId="41FF0C0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Resultado institucional esperado</w:t>
            </w:r>
          </w:p>
        </w:tc>
        <w:tc>
          <w:tcPr>
            <w:tcW w:w="4117" w:type="pct"/>
            <w:vAlign w:val="center"/>
            <w:hideMark/>
          </w:tcPr>
          <w:p w14:paraId="707E603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Transparencia en la gestión de trámites, acceso consolidado a información del contribuyente, trazabilidad completa de expedientes, mayor eficiencia en la atención y confianza ciudadana.</w:t>
            </w:r>
          </w:p>
        </w:tc>
      </w:tr>
      <w:tr w:rsidR="00160081" w:rsidRPr="00160081" w14:paraId="3EBCD951" w14:textId="77777777" w:rsidTr="00221BF3">
        <w:trPr>
          <w:trHeight w:val="2220"/>
        </w:trPr>
        <w:tc>
          <w:tcPr>
            <w:tcW w:w="883" w:type="pct"/>
            <w:shd w:val="clear" w:color="000000" w:fill="D9D9D9"/>
            <w:vAlign w:val="center"/>
            <w:hideMark/>
          </w:tcPr>
          <w:p w14:paraId="6EA20AC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Observaciones</w:t>
            </w:r>
          </w:p>
        </w:tc>
        <w:tc>
          <w:tcPr>
            <w:tcW w:w="4117" w:type="pct"/>
            <w:vAlign w:val="center"/>
            <w:hideMark/>
          </w:tcPr>
          <w:p w14:paraId="59842CF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En futuros proyectos, el expediente integral se alimentará no solo de la información documental, sino también de datos tributarios. Por este motivo, en el presente proyecto se desarrolla únicamente la parte documental, dejando preparada la estructura necesaria para que, a futuro, se incorpore la dimensión tributaria. Esto permitirá contar con un expediente único y completo que reúna tanto la evidencia documental como la información tributaria del contribuyente, fortaleciendo la trazabilidad y la gestión institucional.</w:t>
            </w:r>
          </w:p>
        </w:tc>
      </w:tr>
    </w:tbl>
    <w:p w14:paraId="6DE9C201" w14:textId="77777777" w:rsidR="00160081" w:rsidRPr="00160081" w:rsidRDefault="00160081" w:rsidP="00160081">
      <w:pPr>
        <w:ind w:left="1440"/>
        <w:jc w:val="both"/>
        <w:rPr>
          <w:rFonts w:cstheme="minorHAnsi"/>
          <w:sz w:val="20"/>
          <w:szCs w:val="20"/>
        </w:rPr>
      </w:pPr>
    </w:p>
    <w:p w14:paraId="3BC48870" w14:textId="77777777" w:rsidR="00160081" w:rsidRPr="00160081" w:rsidRDefault="00160081" w:rsidP="00160081">
      <w:pPr>
        <w:numPr>
          <w:ilvl w:val="0"/>
          <w:numId w:val="59"/>
        </w:numPr>
        <w:spacing w:after="0" w:line="240" w:lineRule="auto"/>
        <w:ind w:left="1440"/>
        <w:jc w:val="both"/>
        <w:rPr>
          <w:rFonts w:cstheme="minorHAnsi"/>
          <w:sz w:val="20"/>
          <w:szCs w:val="20"/>
        </w:rPr>
      </w:pPr>
      <w:r w:rsidRPr="00160081">
        <w:rPr>
          <w:rFonts w:cstheme="minorHAnsi"/>
          <w:sz w:val="20"/>
          <w:szCs w:val="20"/>
        </w:rPr>
        <w:t>La propiedad intelectual de los casos de uso implementados en la suite tecnológica integral, durante la vigencia del contrato serán de propiedad de la entidad contratante.</w:t>
      </w:r>
    </w:p>
    <w:p w14:paraId="5A625ACC" w14:textId="77777777" w:rsidR="00160081" w:rsidRPr="00160081" w:rsidRDefault="00160081" w:rsidP="00160081">
      <w:pPr>
        <w:numPr>
          <w:ilvl w:val="0"/>
          <w:numId w:val="59"/>
        </w:numPr>
        <w:spacing w:after="0" w:line="240" w:lineRule="auto"/>
        <w:ind w:left="1440"/>
        <w:jc w:val="both"/>
        <w:rPr>
          <w:rFonts w:cstheme="minorHAnsi"/>
          <w:sz w:val="20"/>
          <w:szCs w:val="20"/>
        </w:rPr>
      </w:pPr>
      <w:bookmarkStart w:id="66" w:name="_Hlk188885757"/>
      <w:r w:rsidRPr="00160081">
        <w:rPr>
          <w:rFonts w:cstheme="minorHAnsi"/>
          <w:sz w:val="20"/>
          <w:szCs w:val="20"/>
        </w:rPr>
        <w:t>El contratista se compromete a: no copiar, no utilizar, no divulgar, no transferir y no revelar el código fuente, desarrollos personalizados, modelos analíticos y/o cualquier otro entregable implementado, que permitan la comercialización de soluciones tecnológicas que puedan afectar el objetivo y alcance de los casos de uso, y la misión del SRI.</w:t>
      </w:r>
      <w:bookmarkEnd w:id="62"/>
      <w:bookmarkEnd w:id="66"/>
    </w:p>
    <w:p w14:paraId="0A422F09" w14:textId="77777777" w:rsidR="00160081" w:rsidRPr="00160081" w:rsidRDefault="00160081" w:rsidP="00160081">
      <w:pPr>
        <w:ind w:left="720"/>
        <w:rPr>
          <w:rFonts w:cstheme="minorHAnsi"/>
          <w:b/>
          <w:bCs/>
          <w:sz w:val="20"/>
          <w:szCs w:val="20"/>
        </w:rPr>
      </w:pPr>
    </w:p>
    <w:p w14:paraId="28132777"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67" w:name="_Toc217326213"/>
      <w:r w:rsidRPr="00160081">
        <w:rPr>
          <w:rFonts w:asciiTheme="minorHAnsi" w:eastAsia="Times New Roman" w:hAnsiTheme="minorHAnsi" w:cstheme="minorHAnsi"/>
          <w:b/>
          <w:bCs/>
          <w:color w:val="000000" w:themeColor="text1"/>
          <w:sz w:val="20"/>
          <w:szCs w:val="20"/>
        </w:rPr>
        <w:t xml:space="preserve">6.4.1.1. </w:t>
      </w:r>
      <w:proofErr w:type="gramStart"/>
      <w:r w:rsidRPr="00160081">
        <w:rPr>
          <w:rFonts w:asciiTheme="minorHAnsi" w:eastAsia="Times New Roman" w:hAnsiTheme="minorHAnsi" w:cstheme="minorHAnsi"/>
          <w:b/>
          <w:bCs/>
          <w:color w:val="000000" w:themeColor="text1"/>
          <w:sz w:val="20"/>
          <w:szCs w:val="20"/>
        </w:rPr>
        <w:t>Actividades a desarrollar</w:t>
      </w:r>
      <w:bookmarkEnd w:id="67"/>
      <w:proofErr w:type="gramEnd"/>
    </w:p>
    <w:p w14:paraId="01DDC6BE" w14:textId="77777777" w:rsidR="00160081" w:rsidRPr="00160081" w:rsidRDefault="00160081" w:rsidP="00160081">
      <w:pPr>
        <w:ind w:left="720"/>
        <w:jc w:val="both"/>
        <w:rPr>
          <w:rFonts w:cstheme="minorHAnsi"/>
          <w:b/>
          <w:bCs/>
          <w:sz w:val="20"/>
          <w:szCs w:val="20"/>
        </w:rPr>
      </w:pPr>
    </w:p>
    <w:p w14:paraId="341E1794"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La implementación de cada caso de uso dentro de la suite tecnológica integral requerirá la ejecución completa de un ciclo de análisis, diseño, configuración, pruebas, documentación y puesta en operación. </w:t>
      </w:r>
    </w:p>
    <w:p w14:paraId="73CDD0A3"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El contratista estará obligado a realizar el levantamiento detallado del caso de uso; identificar actores, procesos, reglas, decisiones, documentos, integraciones y evidencias necesarias; diseñar los aspectos funcionales y técnicos; modelar los procesos en el BPMS; configurar las reglas en el BRMS; estructurar los elementos documentales y del expediente integral en el ECM; implementar en el sistema de riesgos tributarios; e implementar las integraciones requeridas conforme a los servicios y </w:t>
      </w:r>
      <w:proofErr w:type="spellStart"/>
      <w:r w:rsidRPr="00160081">
        <w:rPr>
          <w:rFonts w:cstheme="minorHAnsi"/>
          <w:sz w:val="20"/>
          <w:szCs w:val="20"/>
        </w:rPr>
        <w:t>APIs</w:t>
      </w:r>
      <w:proofErr w:type="spellEnd"/>
      <w:r w:rsidRPr="00160081">
        <w:rPr>
          <w:rFonts w:cstheme="minorHAnsi"/>
          <w:sz w:val="20"/>
          <w:szCs w:val="20"/>
        </w:rPr>
        <w:t xml:space="preserve"> institucionales. </w:t>
      </w:r>
    </w:p>
    <w:p w14:paraId="1581A9C8"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Adicionalmente, el contratista deberá ejecutar pruebas unitarias, funcionales e integradas, entregar las evidencias correspondientes, corregir desviaciones, preparar los artefactos de despliegue y capacitar a los equipos del SRI para asegurar la autonomía institucional en la operación y evolución del caso de uso. </w:t>
      </w:r>
    </w:p>
    <w:p w14:paraId="05E0522B" w14:textId="77777777" w:rsidR="00160081" w:rsidRPr="00160081" w:rsidRDefault="00160081" w:rsidP="00160081">
      <w:pPr>
        <w:ind w:left="720"/>
        <w:jc w:val="both"/>
        <w:rPr>
          <w:rFonts w:cstheme="minorHAnsi"/>
          <w:sz w:val="20"/>
          <w:szCs w:val="20"/>
        </w:rPr>
      </w:pPr>
      <w:r w:rsidRPr="00160081">
        <w:rPr>
          <w:rFonts w:cstheme="minorHAnsi"/>
          <w:sz w:val="20"/>
          <w:szCs w:val="20"/>
        </w:rPr>
        <w:t>La aceptación de cada caso de uso estará condicionada al cumplimiento de los requerimientos funcionales, técnicos y no funcionales institucionales, así como, a la entrega completa de los artefactos documentales y de configuración exigidos, conforme a lo siguiente: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1"/>
        <w:gridCol w:w="5707"/>
      </w:tblGrid>
      <w:tr w:rsidR="00160081" w:rsidRPr="00160081" w14:paraId="553445D1" w14:textId="77777777" w:rsidTr="00BD3D91">
        <w:trPr>
          <w:trHeight w:val="340"/>
          <w:tblHeader/>
          <w:jc w:val="center"/>
        </w:trPr>
        <w:tc>
          <w:tcPr>
            <w:tcW w:w="1401" w:type="pct"/>
            <w:vAlign w:val="center"/>
            <w:hideMark/>
          </w:tcPr>
          <w:p w14:paraId="32526B0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Actividad</w:t>
            </w:r>
          </w:p>
        </w:tc>
        <w:tc>
          <w:tcPr>
            <w:tcW w:w="3599" w:type="pct"/>
            <w:vAlign w:val="center"/>
            <w:hideMark/>
          </w:tcPr>
          <w:p w14:paraId="1EE1BD9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Obligación del contratista</w:t>
            </w:r>
          </w:p>
        </w:tc>
      </w:tr>
      <w:tr w:rsidR="00160081" w:rsidRPr="00160081" w14:paraId="1A030F31" w14:textId="77777777" w:rsidTr="00BD3D91">
        <w:trPr>
          <w:trHeight w:val="507"/>
          <w:jc w:val="center"/>
        </w:trPr>
        <w:tc>
          <w:tcPr>
            <w:tcW w:w="1401" w:type="pct"/>
            <w:vAlign w:val="center"/>
            <w:hideMark/>
          </w:tcPr>
          <w:p w14:paraId="51674096" w14:textId="77777777" w:rsidR="00160081" w:rsidRPr="00160081" w:rsidRDefault="00160081" w:rsidP="00BD3D91">
            <w:pPr>
              <w:rPr>
                <w:rFonts w:cstheme="minorHAnsi"/>
                <w:color w:val="000000"/>
                <w:sz w:val="20"/>
                <w:szCs w:val="20"/>
              </w:rPr>
            </w:pPr>
            <w:r w:rsidRPr="00160081">
              <w:rPr>
                <w:rFonts w:cstheme="minorHAnsi"/>
                <w:color w:val="000000"/>
                <w:sz w:val="20"/>
                <w:szCs w:val="20"/>
              </w:rPr>
              <w:t>1. Levantamiento</w:t>
            </w:r>
          </w:p>
        </w:tc>
        <w:tc>
          <w:tcPr>
            <w:tcW w:w="3599" w:type="pct"/>
            <w:vAlign w:val="center"/>
            <w:hideMark/>
          </w:tcPr>
          <w:p w14:paraId="01259649"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Realizar el levantamiento formal del caso de uso; identificar actores, procesos, reglas, documentos, integraciones, datos y condiciones operativas necesarias.</w:t>
            </w:r>
          </w:p>
        </w:tc>
      </w:tr>
      <w:tr w:rsidR="00160081" w:rsidRPr="00160081" w14:paraId="09DFB6D7" w14:textId="77777777" w:rsidTr="00BD3D91">
        <w:trPr>
          <w:trHeight w:val="680"/>
          <w:jc w:val="center"/>
        </w:trPr>
        <w:tc>
          <w:tcPr>
            <w:tcW w:w="1401" w:type="pct"/>
            <w:vAlign w:val="center"/>
            <w:hideMark/>
          </w:tcPr>
          <w:p w14:paraId="026A85C6" w14:textId="77777777" w:rsidR="00160081" w:rsidRPr="00160081" w:rsidRDefault="00160081" w:rsidP="00BD3D91">
            <w:pPr>
              <w:rPr>
                <w:rFonts w:cstheme="minorHAnsi"/>
                <w:color w:val="000000"/>
                <w:sz w:val="20"/>
                <w:szCs w:val="20"/>
              </w:rPr>
            </w:pPr>
            <w:r w:rsidRPr="00160081">
              <w:rPr>
                <w:rFonts w:cstheme="minorHAnsi"/>
                <w:color w:val="000000"/>
                <w:sz w:val="20"/>
                <w:szCs w:val="20"/>
              </w:rPr>
              <w:t>2. Diseño funcional</w:t>
            </w:r>
          </w:p>
        </w:tc>
        <w:tc>
          <w:tcPr>
            <w:tcW w:w="3599" w:type="pct"/>
            <w:vAlign w:val="center"/>
            <w:hideMark/>
          </w:tcPr>
          <w:p w14:paraId="4B9ABA09"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Elaborar el diseño funcional del caso de uso, incluyendo flujos, reglas, tipos documentales, metadatos y dependencias.</w:t>
            </w:r>
          </w:p>
        </w:tc>
      </w:tr>
      <w:tr w:rsidR="00160081" w:rsidRPr="00160081" w14:paraId="72A20E01" w14:textId="77777777" w:rsidTr="00BD3D91">
        <w:trPr>
          <w:trHeight w:val="343"/>
          <w:jc w:val="center"/>
        </w:trPr>
        <w:tc>
          <w:tcPr>
            <w:tcW w:w="1401" w:type="pct"/>
            <w:vAlign w:val="center"/>
            <w:hideMark/>
          </w:tcPr>
          <w:p w14:paraId="66761472" w14:textId="77777777" w:rsidR="00160081" w:rsidRPr="00160081" w:rsidRDefault="00160081" w:rsidP="00BD3D91">
            <w:pPr>
              <w:rPr>
                <w:rFonts w:cstheme="minorHAnsi"/>
                <w:color w:val="000000"/>
                <w:sz w:val="20"/>
                <w:szCs w:val="20"/>
              </w:rPr>
            </w:pPr>
            <w:r w:rsidRPr="00160081">
              <w:rPr>
                <w:rFonts w:cstheme="minorHAnsi"/>
                <w:color w:val="000000"/>
                <w:sz w:val="20"/>
                <w:szCs w:val="20"/>
              </w:rPr>
              <w:t>3. Diseño técnico</w:t>
            </w:r>
          </w:p>
        </w:tc>
        <w:tc>
          <w:tcPr>
            <w:tcW w:w="3599" w:type="pct"/>
            <w:vAlign w:val="center"/>
            <w:hideMark/>
          </w:tcPr>
          <w:p w14:paraId="5AFB380C"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 xml:space="preserve">Definir el diseño técnico para uso de BPMS, BRMS, ECM, SGRT e integraciones; especificar servicios, </w:t>
            </w:r>
            <w:proofErr w:type="spellStart"/>
            <w:r w:rsidRPr="00160081">
              <w:rPr>
                <w:rFonts w:cstheme="minorHAnsi"/>
                <w:color w:val="000000"/>
                <w:sz w:val="20"/>
                <w:szCs w:val="20"/>
              </w:rPr>
              <w:t>APIs</w:t>
            </w:r>
            <w:proofErr w:type="spellEnd"/>
            <w:r w:rsidRPr="00160081">
              <w:rPr>
                <w:rFonts w:cstheme="minorHAnsi"/>
                <w:color w:val="000000"/>
                <w:sz w:val="20"/>
                <w:szCs w:val="20"/>
              </w:rPr>
              <w:t>, estructuras y validaciones.</w:t>
            </w:r>
          </w:p>
        </w:tc>
      </w:tr>
      <w:tr w:rsidR="00160081" w:rsidRPr="00160081" w14:paraId="41E10540" w14:textId="77777777" w:rsidTr="00BD3D91">
        <w:trPr>
          <w:trHeight w:val="367"/>
          <w:jc w:val="center"/>
        </w:trPr>
        <w:tc>
          <w:tcPr>
            <w:tcW w:w="1401" w:type="pct"/>
            <w:vAlign w:val="center"/>
            <w:hideMark/>
          </w:tcPr>
          <w:p w14:paraId="4E0040E9" w14:textId="77777777" w:rsidR="00160081" w:rsidRPr="00160081" w:rsidRDefault="00160081" w:rsidP="00BD3D91">
            <w:pPr>
              <w:rPr>
                <w:rFonts w:cstheme="minorHAnsi"/>
                <w:color w:val="000000"/>
                <w:sz w:val="20"/>
                <w:szCs w:val="20"/>
              </w:rPr>
            </w:pPr>
            <w:r w:rsidRPr="00160081">
              <w:rPr>
                <w:rFonts w:cstheme="minorHAnsi"/>
                <w:color w:val="000000"/>
                <w:sz w:val="20"/>
                <w:szCs w:val="20"/>
              </w:rPr>
              <w:t>4. Modelado en BPMS</w:t>
            </w:r>
          </w:p>
        </w:tc>
        <w:tc>
          <w:tcPr>
            <w:tcW w:w="3599" w:type="pct"/>
            <w:vAlign w:val="center"/>
            <w:hideMark/>
          </w:tcPr>
          <w:p w14:paraId="7AC710EB"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 xml:space="preserve">Configurar y modelar los procesos definidos, incluyendo actividades, roles, colas, </w:t>
            </w:r>
            <w:proofErr w:type="spellStart"/>
            <w:r w:rsidRPr="00160081">
              <w:rPr>
                <w:rFonts w:cstheme="minorHAnsi"/>
                <w:color w:val="000000"/>
                <w:sz w:val="20"/>
                <w:szCs w:val="20"/>
              </w:rPr>
              <w:t>timers</w:t>
            </w:r>
            <w:proofErr w:type="spellEnd"/>
            <w:r w:rsidRPr="00160081">
              <w:rPr>
                <w:rFonts w:cstheme="minorHAnsi"/>
                <w:color w:val="000000"/>
                <w:sz w:val="20"/>
                <w:szCs w:val="20"/>
              </w:rPr>
              <w:t>, eventos y condiciones de ejecución, así como, el desarrollo de formularios respectivos.</w:t>
            </w:r>
          </w:p>
        </w:tc>
      </w:tr>
      <w:tr w:rsidR="00160081" w:rsidRPr="00160081" w14:paraId="29688356" w14:textId="77777777" w:rsidTr="00BD3D91">
        <w:trPr>
          <w:trHeight w:val="626"/>
          <w:jc w:val="center"/>
        </w:trPr>
        <w:tc>
          <w:tcPr>
            <w:tcW w:w="1401" w:type="pct"/>
            <w:vAlign w:val="center"/>
            <w:hideMark/>
          </w:tcPr>
          <w:p w14:paraId="709348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5. Configuración en BRMS</w:t>
            </w:r>
          </w:p>
        </w:tc>
        <w:tc>
          <w:tcPr>
            <w:tcW w:w="3599" w:type="pct"/>
            <w:vAlign w:val="center"/>
            <w:hideMark/>
          </w:tcPr>
          <w:p w14:paraId="5D4133AE"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Desarrollar, versionar y asociar las reglas del caso de uso, integrándolas con los procesos y asegurando trazabilidad completa.</w:t>
            </w:r>
          </w:p>
        </w:tc>
      </w:tr>
      <w:tr w:rsidR="00160081" w:rsidRPr="00160081" w14:paraId="23689138" w14:textId="77777777" w:rsidTr="00BD3D91">
        <w:trPr>
          <w:trHeight w:val="680"/>
          <w:jc w:val="center"/>
        </w:trPr>
        <w:tc>
          <w:tcPr>
            <w:tcW w:w="1401" w:type="pct"/>
            <w:vAlign w:val="center"/>
            <w:hideMark/>
          </w:tcPr>
          <w:p w14:paraId="29834E04" w14:textId="77777777" w:rsidR="00160081" w:rsidRPr="00160081" w:rsidRDefault="00160081" w:rsidP="00BD3D91">
            <w:pPr>
              <w:rPr>
                <w:rFonts w:cstheme="minorHAnsi"/>
                <w:color w:val="000000"/>
                <w:sz w:val="20"/>
                <w:szCs w:val="20"/>
              </w:rPr>
            </w:pPr>
            <w:r w:rsidRPr="00160081">
              <w:rPr>
                <w:rFonts w:cstheme="minorHAnsi"/>
                <w:color w:val="000000"/>
                <w:sz w:val="20"/>
                <w:szCs w:val="20"/>
              </w:rPr>
              <w:t>6. Configuración en ECM</w:t>
            </w:r>
          </w:p>
        </w:tc>
        <w:tc>
          <w:tcPr>
            <w:tcW w:w="3599" w:type="pct"/>
            <w:vAlign w:val="center"/>
            <w:hideMark/>
          </w:tcPr>
          <w:p w14:paraId="2D54A5C7"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Crear tipos documentales, metadatos, estructuras del expediente, reglas de clasificación y flujos documentales.</w:t>
            </w:r>
          </w:p>
        </w:tc>
      </w:tr>
      <w:tr w:rsidR="00160081" w:rsidRPr="00160081" w14:paraId="509B0D2C" w14:textId="77777777" w:rsidTr="00BD3D91">
        <w:trPr>
          <w:trHeight w:val="680"/>
          <w:jc w:val="center"/>
        </w:trPr>
        <w:tc>
          <w:tcPr>
            <w:tcW w:w="1401" w:type="pct"/>
            <w:vAlign w:val="center"/>
            <w:hideMark/>
          </w:tcPr>
          <w:p w14:paraId="7D97E795" w14:textId="77777777" w:rsidR="00160081" w:rsidRPr="00160081" w:rsidRDefault="00160081" w:rsidP="00BD3D91">
            <w:pPr>
              <w:rPr>
                <w:rFonts w:cstheme="minorHAnsi"/>
                <w:color w:val="000000"/>
                <w:sz w:val="20"/>
                <w:szCs w:val="20"/>
              </w:rPr>
            </w:pPr>
            <w:r w:rsidRPr="00160081">
              <w:rPr>
                <w:rFonts w:cstheme="minorHAnsi"/>
                <w:color w:val="000000"/>
                <w:sz w:val="20"/>
                <w:szCs w:val="20"/>
              </w:rPr>
              <w:t>7. Integraciones</w:t>
            </w:r>
          </w:p>
        </w:tc>
        <w:tc>
          <w:tcPr>
            <w:tcW w:w="3599" w:type="pct"/>
            <w:vAlign w:val="center"/>
            <w:hideMark/>
          </w:tcPr>
          <w:p w14:paraId="479C41F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 xml:space="preserve">Implementar y probar integraciones con sistemas internos y externos utilizando </w:t>
            </w:r>
            <w:proofErr w:type="spellStart"/>
            <w:r w:rsidRPr="00160081">
              <w:rPr>
                <w:rFonts w:cstheme="minorHAnsi"/>
                <w:color w:val="000000"/>
                <w:sz w:val="20"/>
                <w:szCs w:val="20"/>
              </w:rPr>
              <w:t>APIs</w:t>
            </w:r>
            <w:proofErr w:type="spellEnd"/>
            <w:r w:rsidRPr="00160081">
              <w:rPr>
                <w:rFonts w:cstheme="minorHAnsi"/>
                <w:color w:val="000000"/>
                <w:sz w:val="20"/>
                <w:szCs w:val="20"/>
              </w:rPr>
              <w:t xml:space="preserve"> institucionales.</w:t>
            </w:r>
          </w:p>
        </w:tc>
      </w:tr>
      <w:tr w:rsidR="00160081" w:rsidRPr="00160081" w14:paraId="70154869" w14:textId="77777777" w:rsidTr="00BD3D91">
        <w:trPr>
          <w:trHeight w:val="680"/>
          <w:jc w:val="center"/>
        </w:trPr>
        <w:tc>
          <w:tcPr>
            <w:tcW w:w="1401" w:type="pct"/>
            <w:vAlign w:val="center"/>
            <w:hideMark/>
          </w:tcPr>
          <w:p w14:paraId="67554186" w14:textId="77777777" w:rsidR="00160081" w:rsidRPr="00160081" w:rsidRDefault="00160081" w:rsidP="00BD3D91">
            <w:pPr>
              <w:rPr>
                <w:rFonts w:cstheme="minorHAnsi"/>
                <w:color w:val="000000"/>
                <w:sz w:val="20"/>
                <w:szCs w:val="20"/>
              </w:rPr>
            </w:pPr>
            <w:r w:rsidRPr="00160081">
              <w:rPr>
                <w:rFonts w:cstheme="minorHAnsi"/>
                <w:color w:val="000000"/>
                <w:sz w:val="20"/>
                <w:szCs w:val="20"/>
              </w:rPr>
              <w:t>8. Pruebas</w:t>
            </w:r>
          </w:p>
        </w:tc>
        <w:tc>
          <w:tcPr>
            <w:tcW w:w="3599" w:type="pct"/>
            <w:vAlign w:val="center"/>
            <w:hideMark/>
          </w:tcPr>
          <w:p w14:paraId="4CBFAB23"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Ejecutar pruebas unitarias, funcionales, integradas, de rendimiento y de seguridad según lineamientos del SRI.</w:t>
            </w:r>
          </w:p>
        </w:tc>
      </w:tr>
      <w:tr w:rsidR="00160081" w:rsidRPr="00160081" w14:paraId="721D9EF0" w14:textId="77777777" w:rsidTr="00BD3D91">
        <w:trPr>
          <w:trHeight w:val="680"/>
          <w:jc w:val="center"/>
        </w:trPr>
        <w:tc>
          <w:tcPr>
            <w:tcW w:w="1401" w:type="pct"/>
            <w:vAlign w:val="center"/>
            <w:hideMark/>
          </w:tcPr>
          <w:p w14:paraId="7B87D728" w14:textId="77777777" w:rsidR="00160081" w:rsidRPr="00160081" w:rsidRDefault="00160081" w:rsidP="00BD3D91">
            <w:pPr>
              <w:rPr>
                <w:rFonts w:cstheme="minorHAnsi"/>
                <w:color w:val="000000"/>
                <w:sz w:val="20"/>
                <w:szCs w:val="20"/>
              </w:rPr>
            </w:pPr>
            <w:r w:rsidRPr="00160081">
              <w:rPr>
                <w:rFonts w:cstheme="minorHAnsi"/>
                <w:color w:val="000000"/>
                <w:sz w:val="20"/>
                <w:szCs w:val="20"/>
              </w:rPr>
              <w:t>9. Correcciones</w:t>
            </w:r>
          </w:p>
        </w:tc>
        <w:tc>
          <w:tcPr>
            <w:tcW w:w="3599" w:type="pct"/>
            <w:vAlign w:val="center"/>
            <w:hideMark/>
          </w:tcPr>
          <w:p w14:paraId="255612D8"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Resolver desviaciones, inconsistencias, errores o incumplimientos identificados en cualquier fase.</w:t>
            </w:r>
          </w:p>
        </w:tc>
      </w:tr>
      <w:tr w:rsidR="00160081" w:rsidRPr="00160081" w14:paraId="16FE9F42" w14:textId="77777777" w:rsidTr="00BD3D91">
        <w:trPr>
          <w:trHeight w:val="632"/>
          <w:jc w:val="center"/>
        </w:trPr>
        <w:tc>
          <w:tcPr>
            <w:tcW w:w="1401" w:type="pct"/>
            <w:vAlign w:val="center"/>
            <w:hideMark/>
          </w:tcPr>
          <w:p w14:paraId="75675F69" w14:textId="77777777" w:rsidR="00160081" w:rsidRPr="00160081" w:rsidRDefault="00160081" w:rsidP="00BD3D91">
            <w:pPr>
              <w:rPr>
                <w:rFonts w:cstheme="minorHAnsi"/>
                <w:color w:val="000000"/>
                <w:sz w:val="20"/>
                <w:szCs w:val="20"/>
              </w:rPr>
            </w:pPr>
            <w:r w:rsidRPr="00160081">
              <w:rPr>
                <w:rFonts w:cstheme="minorHAnsi"/>
                <w:color w:val="000000"/>
                <w:sz w:val="20"/>
                <w:szCs w:val="20"/>
              </w:rPr>
              <w:t>10. Documentación</w:t>
            </w:r>
          </w:p>
        </w:tc>
        <w:tc>
          <w:tcPr>
            <w:tcW w:w="3599" w:type="pct"/>
            <w:vAlign w:val="center"/>
            <w:hideMark/>
          </w:tcPr>
          <w:p w14:paraId="19C433A9"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Entregar manuales técnicos y funcionales, diagramas, configuraciones, artefactos del caso de uso y evidencia de pruebas.</w:t>
            </w:r>
          </w:p>
        </w:tc>
      </w:tr>
      <w:tr w:rsidR="00160081" w:rsidRPr="00160081" w14:paraId="07F1E800" w14:textId="77777777" w:rsidTr="00BD3D91">
        <w:trPr>
          <w:trHeight w:val="680"/>
          <w:jc w:val="center"/>
        </w:trPr>
        <w:tc>
          <w:tcPr>
            <w:tcW w:w="1401" w:type="pct"/>
            <w:vAlign w:val="center"/>
            <w:hideMark/>
          </w:tcPr>
          <w:p w14:paraId="413057AE" w14:textId="77777777" w:rsidR="00160081" w:rsidRPr="00160081" w:rsidRDefault="00160081" w:rsidP="00BD3D91">
            <w:pPr>
              <w:rPr>
                <w:rFonts w:cstheme="minorHAnsi"/>
                <w:color w:val="000000"/>
                <w:sz w:val="20"/>
                <w:szCs w:val="20"/>
              </w:rPr>
            </w:pPr>
            <w:r w:rsidRPr="00160081">
              <w:rPr>
                <w:rFonts w:cstheme="minorHAnsi"/>
                <w:color w:val="000000"/>
                <w:sz w:val="20"/>
                <w:szCs w:val="20"/>
              </w:rPr>
              <w:t>11. Despliegue</w:t>
            </w:r>
          </w:p>
        </w:tc>
        <w:tc>
          <w:tcPr>
            <w:tcW w:w="3599" w:type="pct"/>
            <w:vAlign w:val="center"/>
            <w:hideMark/>
          </w:tcPr>
          <w:p w14:paraId="76A08A98"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Preparar y ejecutar el despliegue en los ambientes institucionales productivos y no productivos conforme a la normativa del SRI.</w:t>
            </w:r>
          </w:p>
        </w:tc>
      </w:tr>
      <w:tr w:rsidR="00160081" w:rsidRPr="00160081" w14:paraId="30759195" w14:textId="77777777" w:rsidTr="00BD3D91">
        <w:trPr>
          <w:trHeight w:val="680"/>
          <w:jc w:val="center"/>
        </w:trPr>
        <w:tc>
          <w:tcPr>
            <w:tcW w:w="1401" w:type="pct"/>
            <w:vAlign w:val="center"/>
            <w:hideMark/>
          </w:tcPr>
          <w:p w14:paraId="665E085D" w14:textId="77777777" w:rsidR="00160081" w:rsidRPr="00160081" w:rsidRDefault="00160081" w:rsidP="00BD3D91">
            <w:pPr>
              <w:rPr>
                <w:rFonts w:cstheme="minorHAnsi"/>
                <w:color w:val="000000"/>
                <w:sz w:val="20"/>
                <w:szCs w:val="20"/>
              </w:rPr>
            </w:pPr>
            <w:r w:rsidRPr="00160081">
              <w:rPr>
                <w:rFonts w:cstheme="minorHAnsi"/>
                <w:color w:val="000000"/>
                <w:sz w:val="20"/>
                <w:szCs w:val="20"/>
              </w:rPr>
              <w:t>12. Transferencia de conocimiento</w:t>
            </w:r>
          </w:p>
        </w:tc>
        <w:tc>
          <w:tcPr>
            <w:tcW w:w="3599" w:type="pct"/>
            <w:vAlign w:val="center"/>
            <w:hideMark/>
          </w:tcPr>
          <w:p w14:paraId="4073B2C0"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Formar a los usuarios del SRI conforme a los grupos establecidos para garantizar autonomía en operación, mantenimiento y evolución del caso de uso, la que se realizará de manera transversal durante la ejecución del contrato.</w:t>
            </w:r>
          </w:p>
          <w:p w14:paraId="319D36DC"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La capacitación debe incluir al menos:</w:t>
            </w:r>
          </w:p>
          <w:p w14:paraId="774E57DB" w14:textId="77777777" w:rsidR="00160081" w:rsidRPr="00160081" w:rsidRDefault="00160081" w:rsidP="00160081">
            <w:pPr>
              <w:numPr>
                <w:ilvl w:val="0"/>
                <w:numId w:val="164"/>
              </w:numPr>
              <w:spacing w:after="0" w:line="240" w:lineRule="auto"/>
              <w:jc w:val="both"/>
              <w:rPr>
                <w:rFonts w:cstheme="minorHAnsi"/>
                <w:color w:val="000000"/>
                <w:sz w:val="20"/>
                <w:szCs w:val="20"/>
              </w:rPr>
            </w:pPr>
            <w:r w:rsidRPr="00160081">
              <w:rPr>
                <w:rFonts w:cstheme="minorHAnsi"/>
                <w:color w:val="000000"/>
                <w:sz w:val="20"/>
                <w:szCs w:val="20"/>
              </w:rPr>
              <w:t>Administración de la suite</w:t>
            </w:r>
          </w:p>
          <w:p w14:paraId="138D66C5" w14:textId="77777777" w:rsidR="00160081" w:rsidRPr="00160081" w:rsidRDefault="00160081" w:rsidP="00160081">
            <w:pPr>
              <w:numPr>
                <w:ilvl w:val="0"/>
                <w:numId w:val="164"/>
              </w:numPr>
              <w:spacing w:after="0" w:line="240" w:lineRule="auto"/>
              <w:jc w:val="both"/>
              <w:rPr>
                <w:rFonts w:cstheme="minorHAnsi"/>
                <w:color w:val="000000"/>
                <w:sz w:val="20"/>
                <w:szCs w:val="20"/>
              </w:rPr>
            </w:pPr>
            <w:r w:rsidRPr="00160081">
              <w:rPr>
                <w:rFonts w:cstheme="minorHAnsi"/>
                <w:color w:val="000000"/>
                <w:sz w:val="20"/>
                <w:szCs w:val="20"/>
              </w:rPr>
              <w:t>Modelado BPM</w:t>
            </w:r>
          </w:p>
          <w:p w14:paraId="32AC50EF" w14:textId="77777777" w:rsidR="00160081" w:rsidRPr="00160081" w:rsidRDefault="00160081" w:rsidP="00160081">
            <w:pPr>
              <w:numPr>
                <w:ilvl w:val="0"/>
                <w:numId w:val="164"/>
              </w:numPr>
              <w:spacing w:after="0" w:line="240" w:lineRule="auto"/>
              <w:jc w:val="both"/>
              <w:rPr>
                <w:rFonts w:cstheme="minorHAnsi"/>
                <w:color w:val="000000"/>
                <w:sz w:val="20"/>
                <w:szCs w:val="20"/>
              </w:rPr>
            </w:pPr>
            <w:r w:rsidRPr="00160081">
              <w:rPr>
                <w:rFonts w:cstheme="minorHAnsi"/>
                <w:color w:val="000000"/>
                <w:sz w:val="20"/>
                <w:szCs w:val="20"/>
              </w:rPr>
              <w:t>Gestión de reglas</w:t>
            </w:r>
          </w:p>
          <w:p w14:paraId="17A9B19A" w14:textId="77777777" w:rsidR="00160081" w:rsidRPr="00160081" w:rsidRDefault="00160081" w:rsidP="00160081">
            <w:pPr>
              <w:numPr>
                <w:ilvl w:val="0"/>
                <w:numId w:val="164"/>
              </w:numPr>
              <w:spacing w:after="0" w:line="240" w:lineRule="auto"/>
              <w:jc w:val="both"/>
              <w:rPr>
                <w:rFonts w:cstheme="minorHAnsi"/>
                <w:color w:val="000000"/>
                <w:sz w:val="20"/>
                <w:szCs w:val="20"/>
              </w:rPr>
            </w:pPr>
            <w:r w:rsidRPr="00160081">
              <w:rPr>
                <w:rFonts w:cstheme="minorHAnsi"/>
                <w:color w:val="000000"/>
                <w:sz w:val="20"/>
                <w:szCs w:val="20"/>
              </w:rPr>
              <w:t>Operación de la suite</w:t>
            </w:r>
          </w:p>
          <w:p w14:paraId="640F0D1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Integraciones realizadas con sistemas legados</w:t>
            </w:r>
          </w:p>
        </w:tc>
      </w:tr>
    </w:tbl>
    <w:p w14:paraId="295EC863" w14:textId="77777777" w:rsidR="00160081" w:rsidRPr="00160081" w:rsidRDefault="00160081" w:rsidP="00160081">
      <w:pPr>
        <w:ind w:left="720"/>
        <w:outlineLvl w:val="1"/>
        <w:rPr>
          <w:rFonts w:cstheme="minorHAnsi"/>
          <w:sz w:val="20"/>
          <w:szCs w:val="20"/>
        </w:rPr>
      </w:pPr>
    </w:p>
    <w:p w14:paraId="3BC8FCB5"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68" w:name="_Toc216114234"/>
      <w:bookmarkStart w:id="69" w:name="_Toc217326214"/>
      <w:r w:rsidRPr="00160081">
        <w:rPr>
          <w:rFonts w:asciiTheme="minorHAnsi" w:eastAsia="Times New Roman" w:hAnsiTheme="minorHAnsi" w:cstheme="minorHAnsi"/>
          <w:b/>
          <w:bCs/>
          <w:color w:val="000000" w:themeColor="text1"/>
          <w:sz w:val="20"/>
          <w:szCs w:val="20"/>
        </w:rPr>
        <w:t>6.4.1.2. Artefactos funcionales, técnicos y operativos</w:t>
      </w:r>
      <w:bookmarkEnd w:id="68"/>
      <w:bookmarkEnd w:id="69"/>
    </w:p>
    <w:p w14:paraId="28939029" w14:textId="77777777" w:rsidR="00160081" w:rsidRPr="00160081" w:rsidRDefault="00160081" w:rsidP="00160081">
      <w:pPr>
        <w:ind w:left="720"/>
        <w:jc w:val="both"/>
        <w:rPr>
          <w:rFonts w:cstheme="minorHAnsi"/>
          <w:sz w:val="20"/>
          <w:szCs w:val="20"/>
        </w:rPr>
      </w:pPr>
    </w:p>
    <w:p w14:paraId="400E37A8" w14:textId="77777777" w:rsidR="00160081" w:rsidRPr="00160081" w:rsidRDefault="00160081" w:rsidP="00160081">
      <w:pPr>
        <w:ind w:left="720"/>
        <w:jc w:val="both"/>
        <w:rPr>
          <w:rFonts w:cstheme="minorHAnsi"/>
          <w:sz w:val="20"/>
          <w:szCs w:val="20"/>
        </w:rPr>
      </w:pPr>
      <w:r w:rsidRPr="00160081">
        <w:rPr>
          <w:rFonts w:cstheme="minorHAnsi"/>
          <w:sz w:val="20"/>
          <w:szCs w:val="20"/>
        </w:rPr>
        <w:t xml:space="preserve">Los casos de uso implementados dentro de la suite tecnológica integral deberán generar un conjunto mínimo de artefactos funcionales, técnicos y operativos que permitan su correcta documentación, trazabilidad, despliegue y sostenibilidad institucional. Estos entregables son de cumplimiento obligatorio y constituyen la evidencia formal necesaria para la validación y aceptación de cada caso de uso por parte del SRI. </w:t>
      </w:r>
    </w:p>
    <w:p w14:paraId="6EBDC428" w14:textId="77777777" w:rsidR="00160081" w:rsidRPr="00160081" w:rsidRDefault="00160081" w:rsidP="00160081">
      <w:pPr>
        <w:ind w:left="720"/>
        <w:jc w:val="both"/>
        <w:rPr>
          <w:rFonts w:cstheme="minorHAnsi"/>
          <w:sz w:val="20"/>
          <w:szCs w:val="20"/>
        </w:rPr>
      </w:pPr>
      <w:r w:rsidRPr="00160081">
        <w:rPr>
          <w:rFonts w:cstheme="minorHAnsi"/>
          <w:sz w:val="20"/>
          <w:szCs w:val="20"/>
        </w:rPr>
        <w:t>A continuación, se detallan los entregables mínimos que deberán ser proporcionados para cada caso de uso: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6067"/>
      </w:tblGrid>
      <w:tr w:rsidR="00160081" w:rsidRPr="00160081" w14:paraId="21790EA1" w14:textId="77777777" w:rsidTr="00BD3D91">
        <w:trPr>
          <w:trHeight w:val="340"/>
          <w:tblHeader/>
          <w:jc w:val="center"/>
        </w:trPr>
        <w:tc>
          <w:tcPr>
            <w:tcW w:w="1174" w:type="pct"/>
            <w:vAlign w:val="center"/>
            <w:hideMark/>
          </w:tcPr>
          <w:p w14:paraId="09AFFC7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Componente</w:t>
            </w:r>
          </w:p>
        </w:tc>
        <w:tc>
          <w:tcPr>
            <w:tcW w:w="3826" w:type="pct"/>
            <w:vAlign w:val="center"/>
            <w:hideMark/>
          </w:tcPr>
          <w:p w14:paraId="3F75B3A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Entregable mínimo requerido</w:t>
            </w:r>
          </w:p>
        </w:tc>
      </w:tr>
      <w:tr w:rsidR="00160081" w:rsidRPr="00160081" w14:paraId="4F5CB32D" w14:textId="77777777" w:rsidTr="00BD3D91">
        <w:trPr>
          <w:trHeight w:val="289"/>
          <w:jc w:val="center"/>
        </w:trPr>
        <w:tc>
          <w:tcPr>
            <w:tcW w:w="1174" w:type="pct"/>
            <w:vAlign w:val="center"/>
            <w:hideMark/>
          </w:tcPr>
          <w:p w14:paraId="3C32FE4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Funcional</w:t>
            </w:r>
          </w:p>
        </w:tc>
        <w:tc>
          <w:tcPr>
            <w:tcW w:w="3826" w:type="pct"/>
            <w:vAlign w:val="center"/>
            <w:hideMark/>
          </w:tcPr>
          <w:p w14:paraId="0B51775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Documento de levantamiento y diseño funcional del caso de uso.</w:t>
            </w:r>
          </w:p>
        </w:tc>
      </w:tr>
      <w:tr w:rsidR="00160081" w:rsidRPr="00160081" w14:paraId="5D72C651" w14:textId="77777777" w:rsidTr="00BD3D91">
        <w:trPr>
          <w:trHeight w:val="407"/>
          <w:jc w:val="center"/>
        </w:trPr>
        <w:tc>
          <w:tcPr>
            <w:tcW w:w="1174" w:type="pct"/>
            <w:vAlign w:val="center"/>
            <w:hideMark/>
          </w:tcPr>
          <w:p w14:paraId="3252AC6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BPMS</w:t>
            </w:r>
          </w:p>
        </w:tc>
        <w:tc>
          <w:tcPr>
            <w:tcW w:w="3826" w:type="pct"/>
            <w:vAlign w:val="center"/>
            <w:hideMark/>
          </w:tcPr>
          <w:p w14:paraId="28ABAF5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Modelos de procesos, configuraciones, diagramas BPMN y artefactos asociados.</w:t>
            </w:r>
          </w:p>
        </w:tc>
      </w:tr>
      <w:tr w:rsidR="00160081" w:rsidRPr="00160081" w14:paraId="49AE93FA" w14:textId="77777777" w:rsidTr="00BD3D91">
        <w:trPr>
          <w:trHeight w:val="289"/>
          <w:jc w:val="center"/>
        </w:trPr>
        <w:tc>
          <w:tcPr>
            <w:tcW w:w="1174" w:type="pct"/>
            <w:vAlign w:val="center"/>
            <w:hideMark/>
          </w:tcPr>
          <w:p w14:paraId="172EFB3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BRMS</w:t>
            </w:r>
          </w:p>
        </w:tc>
        <w:tc>
          <w:tcPr>
            <w:tcW w:w="3826" w:type="pct"/>
            <w:vAlign w:val="center"/>
            <w:hideMark/>
          </w:tcPr>
          <w:p w14:paraId="0068A5D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Reglas, decisiones, matrices de decisión, repositorio de reglas y decisiones, </w:t>
            </w:r>
            <w:proofErr w:type="spellStart"/>
            <w:r w:rsidRPr="00160081">
              <w:rPr>
                <w:rFonts w:cstheme="minorHAnsi"/>
                <w:color w:val="000000"/>
                <w:sz w:val="20"/>
                <w:szCs w:val="20"/>
              </w:rPr>
              <w:t>versionamiento</w:t>
            </w:r>
            <w:proofErr w:type="spellEnd"/>
            <w:r w:rsidRPr="00160081">
              <w:rPr>
                <w:rFonts w:cstheme="minorHAnsi"/>
                <w:color w:val="000000"/>
                <w:sz w:val="20"/>
                <w:szCs w:val="20"/>
              </w:rPr>
              <w:t xml:space="preserve"> y trazabilidad.</w:t>
            </w:r>
          </w:p>
        </w:tc>
      </w:tr>
      <w:tr w:rsidR="00160081" w:rsidRPr="00160081" w14:paraId="34074533" w14:textId="77777777" w:rsidTr="00BD3D91">
        <w:trPr>
          <w:trHeight w:val="421"/>
          <w:jc w:val="center"/>
        </w:trPr>
        <w:tc>
          <w:tcPr>
            <w:tcW w:w="1174" w:type="pct"/>
            <w:vAlign w:val="center"/>
            <w:hideMark/>
          </w:tcPr>
          <w:p w14:paraId="496FAF1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ECM</w:t>
            </w:r>
          </w:p>
        </w:tc>
        <w:tc>
          <w:tcPr>
            <w:tcW w:w="3826" w:type="pct"/>
            <w:vAlign w:val="center"/>
            <w:hideMark/>
          </w:tcPr>
          <w:p w14:paraId="5C9DFD3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Tipos documentales, metadatos, estructuras del expediente y reglas documentales.</w:t>
            </w:r>
          </w:p>
        </w:tc>
      </w:tr>
      <w:tr w:rsidR="00160081" w:rsidRPr="00160081" w14:paraId="5D9ED3F9" w14:textId="77777777" w:rsidTr="00BD3D91">
        <w:trPr>
          <w:trHeight w:val="399"/>
          <w:jc w:val="center"/>
        </w:trPr>
        <w:tc>
          <w:tcPr>
            <w:tcW w:w="1174" w:type="pct"/>
            <w:vAlign w:val="center"/>
            <w:hideMark/>
          </w:tcPr>
          <w:p w14:paraId="15F68DC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Integraciones</w:t>
            </w:r>
          </w:p>
        </w:tc>
        <w:tc>
          <w:tcPr>
            <w:tcW w:w="3826" w:type="pct"/>
            <w:vAlign w:val="center"/>
            <w:hideMark/>
          </w:tcPr>
          <w:p w14:paraId="2EAA7D8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Servicios, </w:t>
            </w:r>
            <w:proofErr w:type="spellStart"/>
            <w:r w:rsidRPr="00160081">
              <w:rPr>
                <w:rFonts w:cstheme="minorHAnsi"/>
                <w:color w:val="000000"/>
                <w:sz w:val="20"/>
                <w:szCs w:val="20"/>
              </w:rPr>
              <w:t>APIs</w:t>
            </w:r>
            <w:proofErr w:type="spellEnd"/>
            <w:r w:rsidRPr="00160081">
              <w:rPr>
                <w:rFonts w:cstheme="minorHAnsi"/>
                <w:color w:val="000000"/>
                <w:sz w:val="20"/>
                <w:szCs w:val="20"/>
              </w:rPr>
              <w:t>, mapeos, contratos y evidencias de pruebas de integración.</w:t>
            </w:r>
          </w:p>
        </w:tc>
      </w:tr>
      <w:tr w:rsidR="00160081" w:rsidRPr="00160081" w14:paraId="236839FF" w14:textId="77777777" w:rsidTr="00BD3D91">
        <w:trPr>
          <w:trHeight w:val="267"/>
          <w:jc w:val="center"/>
        </w:trPr>
        <w:tc>
          <w:tcPr>
            <w:tcW w:w="1174" w:type="pct"/>
            <w:vAlign w:val="center"/>
            <w:hideMark/>
          </w:tcPr>
          <w:p w14:paraId="3136E4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Requisitos no funcionales NFR</w:t>
            </w:r>
          </w:p>
        </w:tc>
        <w:tc>
          <w:tcPr>
            <w:tcW w:w="3826" w:type="pct"/>
            <w:vAlign w:val="center"/>
            <w:hideMark/>
          </w:tcPr>
          <w:p w14:paraId="21DC81B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Evidencia de cumplimiento de requisitos no funcionales</w:t>
            </w:r>
          </w:p>
        </w:tc>
      </w:tr>
      <w:tr w:rsidR="00160081" w:rsidRPr="00160081" w14:paraId="012164DE" w14:textId="77777777" w:rsidTr="00BD3D91">
        <w:trPr>
          <w:trHeight w:val="340"/>
          <w:jc w:val="center"/>
        </w:trPr>
        <w:tc>
          <w:tcPr>
            <w:tcW w:w="1174" w:type="pct"/>
            <w:vAlign w:val="center"/>
            <w:hideMark/>
          </w:tcPr>
          <w:p w14:paraId="7085A52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Pruebas</w:t>
            </w:r>
          </w:p>
        </w:tc>
        <w:tc>
          <w:tcPr>
            <w:tcW w:w="3826" w:type="pct"/>
            <w:vAlign w:val="center"/>
            <w:hideMark/>
          </w:tcPr>
          <w:p w14:paraId="521EC2B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Planes de prueba, casos de prueba, evidencias y resultados.</w:t>
            </w:r>
          </w:p>
        </w:tc>
      </w:tr>
      <w:tr w:rsidR="00160081" w:rsidRPr="00160081" w14:paraId="18471618" w14:textId="77777777" w:rsidTr="00BD3D91">
        <w:trPr>
          <w:trHeight w:val="275"/>
          <w:jc w:val="center"/>
        </w:trPr>
        <w:tc>
          <w:tcPr>
            <w:tcW w:w="1174" w:type="pct"/>
            <w:vAlign w:val="center"/>
            <w:hideMark/>
          </w:tcPr>
          <w:p w14:paraId="79273F7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Despliegue</w:t>
            </w:r>
          </w:p>
        </w:tc>
        <w:tc>
          <w:tcPr>
            <w:tcW w:w="3826" w:type="pct"/>
            <w:vAlign w:val="center"/>
            <w:hideMark/>
          </w:tcPr>
          <w:p w14:paraId="71BA6F2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Artefactos de despliegue, scripts, manual de instalación y bitácoras, código fuente.</w:t>
            </w:r>
          </w:p>
        </w:tc>
      </w:tr>
      <w:tr w:rsidR="00160081" w:rsidRPr="00160081" w14:paraId="625DBCE9" w14:textId="77777777" w:rsidTr="00BD3D91">
        <w:trPr>
          <w:trHeight w:val="299"/>
          <w:jc w:val="center"/>
        </w:trPr>
        <w:tc>
          <w:tcPr>
            <w:tcW w:w="1174" w:type="pct"/>
            <w:vAlign w:val="center"/>
            <w:hideMark/>
          </w:tcPr>
          <w:p w14:paraId="7A2751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Capacitación</w:t>
            </w:r>
          </w:p>
        </w:tc>
        <w:tc>
          <w:tcPr>
            <w:tcW w:w="3826" w:type="pct"/>
            <w:vAlign w:val="center"/>
            <w:hideMark/>
          </w:tcPr>
          <w:p w14:paraId="5181246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Materiales de capacitación, sesiones ejecutadas y actas de entrega, manuales de usuario, manual técnico</w:t>
            </w:r>
          </w:p>
        </w:tc>
      </w:tr>
    </w:tbl>
    <w:p w14:paraId="41251368" w14:textId="77777777" w:rsidR="00160081" w:rsidRPr="00160081" w:rsidRDefault="00160081" w:rsidP="00160081">
      <w:pPr>
        <w:ind w:left="720"/>
        <w:outlineLvl w:val="0"/>
        <w:rPr>
          <w:rFonts w:cstheme="minorHAnsi"/>
          <w:b/>
          <w:bCs/>
          <w:kern w:val="36"/>
          <w:sz w:val="20"/>
          <w:szCs w:val="20"/>
        </w:rPr>
      </w:pPr>
    </w:p>
    <w:p w14:paraId="466651AD" w14:textId="77777777" w:rsidR="00160081" w:rsidRPr="00160081" w:rsidRDefault="00160081" w:rsidP="00160081">
      <w:pPr>
        <w:pStyle w:val="Ttulo1"/>
        <w:spacing w:before="0"/>
        <w:ind w:left="720"/>
        <w:rPr>
          <w:rFonts w:asciiTheme="minorHAnsi" w:eastAsia="Times New Roman" w:hAnsiTheme="minorHAnsi" w:cstheme="minorHAnsi"/>
          <w:b/>
          <w:bCs/>
          <w:color w:val="000000" w:themeColor="text1"/>
          <w:sz w:val="20"/>
          <w:szCs w:val="20"/>
        </w:rPr>
      </w:pPr>
      <w:bookmarkStart w:id="70" w:name="_Toc216114235"/>
    </w:p>
    <w:p w14:paraId="5E582BF8"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71" w:name="_Toc217326215"/>
      <w:r w:rsidRPr="00160081">
        <w:rPr>
          <w:rFonts w:asciiTheme="minorHAnsi" w:eastAsia="Times New Roman" w:hAnsiTheme="minorHAnsi" w:cstheme="minorHAnsi"/>
          <w:b/>
          <w:bCs/>
          <w:color w:val="000000" w:themeColor="text1"/>
          <w:sz w:val="20"/>
          <w:szCs w:val="20"/>
        </w:rPr>
        <w:t>6.4.2 Implementación del Sistema de Gestión de Riesgos Tributarios (SGRT)</w:t>
      </w:r>
      <w:bookmarkEnd w:id="71"/>
    </w:p>
    <w:p w14:paraId="779BA5ED" w14:textId="77777777" w:rsidR="00160081" w:rsidRPr="00160081" w:rsidRDefault="00160081" w:rsidP="00160081">
      <w:pPr>
        <w:pStyle w:val="Ttulo1"/>
        <w:spacing w:before="0"/>
        <w:ind w:left="720"/>
        <w:rPr>
          <w:rFonts w:asciiTheme="minorHAnsi" w:hAnsiTheme="minorHAnsi" w:cstheme="minorHAnsi"/>
          <w:b/>
          <w:bCs/>
          <w:color w:val="000000" w:themeColor="text1"/>
          <w:sz w:val="20"/>
          <w:szCs w:val="20"/>
        </w:rPr>
      </w:pPr>
    </w:p>
    <w:p w14:paraId="29397753" w14:textId="77777777" w:rsidR="00160081" w:rsidRPr="00160081" w:rsidRDefault="00160081" w:rsidP="00160081">
      <w:pPr>
        <w:ind w:left="720"/>
        <w:rPr>
          <w:rFonts w:cstheme="minorHAnsi"/>
          <w:b/>
          <w:bCs/>
          <w:sz w:val="20"/>
          <w:szCs w:val="20"/>
        </w:rPr>
      </w:pPr>
      <w:r w:rsidRPr="00160081">
        <w:rPr>
          <w:rFonts w:eastAsiaTheme="majorEastAsia" w:cstheme="minorHAnsi"/>
          <w:b/>
          <w:bCs/>
          <w:sz w:val="20"/>
          <w:szCs w:val="20"/>
        </w:rPr>
        <w:t>Modelo funcional y operativo</w:t>
      </w:r>
    </w:p>
    <w:p w14:paraId="46716A1F" w14:textId="77777777" w:rsidR="00160081" w:rsidRPr="00160081" w:rsidRDefault="00160081" w:rsidP="00160081">
      <w:pPr>
        <w:suppressAutoHyphens/>
        <w:ind w:left="720"/>
        <w:rPr>
          <w:rFonts w:eastAsiaTheme="majorEastAsia" w:cstheme="minorHAnsi"/>
          <w:color w:val="000000" w:themeColor="text1"/>
          <w:sz w:val="20"/>
          <w:szCs w:val="20"/>
        </w:rPr>
      </w:pPr>
      <w:r w:rsidRPr="00160081">
        <w:rPr>
          <w:rFonts w:eastAsiaTheme="majorEastAsia" w:cstheme="minorHAnsi"/>
          <w:color w:val="000000" w:themeColor="text1"/>
          <w:sz w:val="20"/>
          <w:szCs w:val="20"/>
        </w:rPr>
        <w:t>El Sistema de Gestión de Riesgos Tributarios (SGRT) es un producto específico que el contratista deberá entregar como parte del proyecto, cuyo objetivo es soportar integralmente el ciclo de gestión de riesgos tributarios del SRI, abarcando las etapas de identificación, valoración, priorización, programación de acciones de tratamiento (incluyendo diseño de pautas, papeles de trabajo, etc.) y evaluación de resultados e impacto.</w:t>
      </w:r>
    </w:p>
    <w:p w14:paraId="3112D681"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72" w:name="_Toc217326216"/>
      <w:r w:rsidRPr="00160081">
        <w:rPr>
          <w:rFonts w:asciiTheme="minorHAnsi" w:eastAsia="Times New Roman" w:hAnsiTheme="minorHAnsi" w:cstheme="minorHAnsi"/>
          <w:b/>
          <w:bCs/>
          <w:color w:val="000000" w:themeColor="text1"/>
          <w:sz w:val="20"/>
          <w:szCs w:val="20"/>
        </w:rPr>
        <w:t>6.4.2.1 Modalidad de construcción del sistema</w:t>
      </w:r>
      <w:bookmarkEnd w:id="72"/>
    </w:p>
    <w:p w14:paraId="3ABBD6C0" w14:textId="77777777" w:rsidR="00160081" w:rsidRPr="00160081" w:rsidRDefault="00160081" w:rsidP="00160081">
      <w:pPr>
        <w:suppressAutoHyphens/>
        <w:ind w:left="720"/>
        <w:rPr>
          <w:rFonts w:eastAsiaTheme="majorEastAsia" w:cstheme="minorHAnsi"/>
          <w:color w:val="000000" w:themeColor="text1"/>
          <w:sz w:val="20"/>
          <w:szCs w:val="20"/>
        </w:rPr>
      </w:pPr>
    </w:p>
    <w:p w14:paraId="532A4CF4" w14:textId="77777777" w:rsidR="00160081" w:rsidRPr="00160081" w:rsidRDefault="00160081" w:rsidP="00160081">
      <w:pPr>
        <w:suppressAutoHyphens/>
        <w:ind w:left="720"/>
        <w:rPr>
          <w:rFonts w:eastAsiaTheme="majorEastAsia" w:cstheme="minorHAnsi"/>
          <w:color w:val="000000" w:themeColor="text1"/>
          <w:sz w:val="20"/>
          <w:szCs w:val="20"/>
        </w:rPr>
      </w:pPr>
      <w:r w:rsidRPr="00160081">
        <w:rPr>
          <w:rFonts w:eastAsiaTheme="majorEastAsia" w:cstheme="minorHAnsi"/>
          <w:color w:val="000000" w:themeColor="text1"/>
          <w:sz w:val="20"/>
          <w:szCs w:val="20"/>
        </w:rPr>
        <w:t>El contratista deberá presentar en su propuesta técnica la arquitectura y modalidad de implementación del SGRT, pudiendo optar por cualquiera de los siguientes enfoques:</w:t>
      </w:r>
    </w:p>
    <w:p w14:paraId="0EC9AFB5" w14:textId="77777777" w:rsidR="00160081" w:rsidRPr="00160081" w:rsidRDefault="00160081" w:rsidP="00160081">
      <w:pPr>
        <w:pStyle w:val="Prrafodelista"/>
        <w:numPr>
          <w:ilvl w:val="0"/>
          <w:numId w:val="64"/>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Construcción del SGRT utilizando capacidades de los componentes principales de la solución propuesta, ya sea mediante configuración, parametrización y/o extensión.</w:t>
      </w:r>
    </w:p>
    <w:p w14:paraId="6A667A88" w14:textId="77777777" w:rsidR="00160081" w:rsidRPr="00160081" w:rsidRDefault="00160081" w:rsidP="00160081">
      <w:pPr>
        <w:pStyle w:val="Prrafodelista"/>
        <w:numPr>
          <w:ilvl w:val="0"/>
          <w:numId w:val="64"/>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Implementación del SGRT mediante un producto especializado (tipo COTS o análogo) que cumpla con los requerimientos funcionales establecidos y que se integre plenamente a los sistemas y procesos del SRI.</w:t>
      </w:r>
    </w:p>
    <w:p w14:paraId="7877B40E" w14:textId="77777777" w:rsidR="00160081" w:rsidRPr="00160081" w:rsidRDefault="00160081" w:rsidP="00160081">
      <w:pPr>
        <w:suppressAutoHyphens/>
        <w:ind w:left="720"/>
        <w:rPr>
          <w:rFonts w:eastAsiaTheme="majorEastAsia" w:cstheme="minorHAnsi"/>
          <w:color w:val="000000" w:themeColor="text1"/>
          <w:sz w:val="20"/>
          <w:szCs w:val="20"/>
        </w:rPr>
      </w:pPr>
    </w:p>
    <w:p w14:paraId="23437892" w14:textId="77777777" w:rsidR="00160081" w:rsidRPr="00160081" w:rsidRDefault="00160081" w:rsidP="00160081">
      <w:pPr>
        <w:suppressAutoHyphens/>
        <w:ind w:left="720"/>
        <w:rPr>
          <w:rFonts w:eastAsiaTheme="majorEastAsia" w:cstheme="minorHAnsi"/>
          <w:color w:val="000000" w:themeColor="text1"/>
          <w:sz w:val="20"/>
          <w:szCs w:val="20"/>
        </w:rPr>
      </w:pPr>
      <w:r w:rsidRPr="00160081">
        <w:rPr>
          <w:rFonts w:eastAsiaTheme="majorEastAsia" w:cstheme="minorHAnsi"/>
          <w:color w:val="000000" w:themeColor="text1"/>
          <w:sz w:val="20"/>
          <w:szCs w:val="20"/>
        </w:rPr>
        <w:t>En ambos casos, el contratista deberá garantizar que el SGRT:</w:t>
      </w:r>
    </w:p>
    <w:p w14:paraId="22337EDE" w14:textId="77777777" w:rsidR="00160081" w:rsidRPr="00160081" w:rsidRDefault="00160081" w:rsidP="00160081">
      <w:pPr>
        <w:pStyle w:val="Prrafodelista"/>
        <w:numPr>
          <w:ilvl w:val="0"/>
          <w:numId w:val="83"/>
        </w:numPr>
        <w:suppressAutoHyphens/>
        <w:spacing w:after="0" w:line="240" w:lineRule="auto"/>
        <w:ind w:left="1287" w:hanging="207"/>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Se integre con los sistemas internos del SRI que generan, consumen o actualizan información vinculada a riesgos tributarios.</w:t>
      </w:r>
    </w:p>
    <w:p w14:paraId="2C96C16C" w14:textId="77777777" w:rsidR="00160081" w:rsidRPr="00160081" w:rsidRDefault="00160081" w:rsidP="00160081">
      <w:pPr>
        <w:pStyle w:val="Prrafodelista"/>
        <w:numPr>
          <w:ilvl w:val="0"/>
          <w:numId w:val="83"/>
        </w:numPr>
        <w:suppressAutoHyphens/>
        <w:spacing w:after="0" w:line="240" w:lineRule="auto"/>
        <w:ind w:left="1287" w:hanging="207"/>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 xml:space="preserve">Cumpla los lineamientos de interoperabilidad, seguridad, </w:t>
      </w:r>
      <w:proofErr w:type="spellStart"/>
      <w:r w:rsidRPr="00160081">
        <w:rPr>
          <w:rFonts w:eastAsiaTheme="majorEastAsia" w:cstheme="minorHAnsi"/>
          <w:color w:val="000000" w:themeColor="text1"/>
          <w:sz w:val="20"/>
          <w:szCs w:val="20"/>
        </w:rPr>
        <w:t>versionamiento</w:t>
      </w:r>
      <w:proofErr w:type="spellEnd"/>
      <w:r w:rsidRPr="00160081">
        <w:rPr>
          <w:rFonts w:eastAsiaTheme="majorEastAsia" w:cstheme="minorHAnsi"/>
          <w:color w:val="000000" w:themeColor="text1"/>
          <w:sz w:val="20"/>
          <w:szCs w:val="20"/>
        </w:rPr>
        <w:t>, trazabilidad y gestión documental establecidos por el SRI.</w:t>
      </w:r>
    </w:p>
    <w:p w14:paraId="2E871D9C" w14:textId="77777777" w:rsidR="00160081" w:rsidRPr="00160081" w:rsidRDefault="00160081" w:rsidP="00160081">
      <w:pPr>
        <w:pStyle w:val="Prrafodelista"/>
        <w:numPr>
          <w:ilvl w:val="0"/>
          <w:numId w:val="83"/>
        </w:numPr>
        <w:suppressAutoHyphens/>
        <w:spacing w:after="0" w:line="240" w:lineRule="auto"/>
        <w:ind w:left="1287" w:hanging="207"/>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Permita la parametrización por parte del SRI, sin dependencia del contratista, de modelos, criterios, flujos operativos, plantillas, reglas, pantallas y elementos relevantes para la gestión de riesgos tributarios.</w:t>
      </w:r>
    </w:p>
    <w:p w14:paraId="1087A731" w14:textId="77777777" w:rsidR="00160081" w:rsidRPr="00160081" w:rsidRDefault="00160081" w:rsidP="00160081">
      <w:pPr>
        <w:pStyle w:val="Prrafodelista"/>
        <w:numPr>
          <w:ilvl w:val="0"/>
          <w:numId w:val="83"/>
        </w:numPr>
        <w:suppressAutoHyphens/>
        <w:spacing w:after="0" w:line="240" w:lineRule="auto"/>
        <w:ind w:left="1287" w:hanging="207"/>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Sea evolutivo, de forma que pueda ajustarse a cambios institucionales, ajustes en los modelos analíticos o incorporaciones de nuevas categorías de riesgo tributario.</w:t>
      </w:r>
    </w:p>
    <w:p w14:paraId="3F25BB26" w14:textId="77777777" w:rsidR="00160081" w:rsidRPr="00160081" w:rsidRDefault="00160081" w:rsidP="00160081">
      <w:pPr>
        <w:suppressAutoHyphens/>
        <w:ind w:left="720"/>
        <w:rPr>
          <w:rFonts w:eastAsiaTheme="majorEastAsia" w:cstheme="minorHAnsi"/>
          <w:color w:val="000000" w:themeColor="text1"/>
          <w:sz w:val="20"/>
          <w:szCs w:val="20"/>
        </w:rPr>
      </w:pPr>
    </w:p>
    <w:p w14:paraId="25896B10"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73" w:name="_Toc217326217"/>
      <w:r w:rsidRPr="00160081">
        <w:rPr>
          <w:rFonts w:asciiTheme="minorHAnsi" w:eastAsia="Times New Roman" w:hAnsiTheme="minorHAnsi" w:cstheme="minorHAnsi"/>
          <w:b/>
          <w:bCs/>
          <w:color w:val="000000" w:themeColor="text1"/>
          <w:sz w:val="20"/>
          <w:szCs w:val="20"/>
        </w:rPr>
        <w:t xml:space="preserve">6.4.2.2 Implementación de casos de uso en </w:t>
      </w:r>
      <w:bookmarkEnd w:id="73"/>
      <w:r w:rsidRPr="00160081">
        <w:rPr>
          <w:rFonts w:asciiTheme="minorHAnsi" w:eastAsia="Times New Roman" w:hAnsiTheme="minorHAnsi" w:cstheme="minorHAnsi"/>
          <w:b/>
          <w:bCs/>
          <w:color w:val="000000" w:themeColor="text1"/>
          <w:sz w:val="20"/>
          <w:szCs w:val="20"/>
        </w:rPr>
        <w:t>SGRT</w:t>
      </w:r>
    </w:p>
    <w:p w14:paraId="23DCF884" w14:textId="77777777" w:rsidR="00160081" w:rsidRPr="00160081" w:rsidRDefault="00160081" w:rsidP="00160081">
      <w:pPr>
        <w:suppressAutoHyphens/>
        <w:ind w:left="720"/>
        <w:rPr>
          <w:rFonts w:eastAsiaTheme="majorEastAsia" w:cstheme="minorHAnsi"/>
          <w:color w:val="000000" w:themeColor="text1"/>
          <w:sz w:val="20"/>
          <w:szCs w:val="20"/>
        </w:rPr>
      </w:pPr>
    </w:p>
    <w:p w14:paraId="6F36A02A" w14:textId="77777777" w:rsidR="00160081" w:rsidRPr="00160081" w:rsidRDefault="00160081" w:rsidP="00160081">
      <w:pPr>
        <w:suppressAutoHyphens/>
        <w:ind w:left="720"/>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El SGRT será la base funcional sobre la cual deberán implementarse y operar los casos de uso asociados al proceso de Gestión de Riesgos Tributarios, señalados en el numeral 6.4.1 “</w:t>
      </w:r>
      <w:r w:rsidRPr="00160081">
        <w:rPr>
          <w:rFonts w:cstheme="minorHAnsi"/>
          <w:color w:val="000000" w:themeColor="text1"/>
          <w:sz w:val="20"/>
          <w:szCs w:val="20"/>
        </w:rPr>
        <w:t>Implementaciones de casos de uso”</w:t>
      </w:r>
      <w:r w:rsidRPr="00160081">
        <w:rPr>
          <w:rFonts w:eastAsiaTheme="majorEastAsia" w:cstheme="minorHAnsi"/>
          <w:color w:val="000000" w:themeColor="text1"/>
          <w:sz w:val="20"/>
          <w:szCs w:val="20"/>
        </w:rPr>
        <w:t xml:space="preserve"> de este documento, según el alcance definido por el SRI. Por lo que el contratista deberá contemplar que:</w:t>
      </w:r>
    </w:p>
    <w:p w14:paraId="525AD5A7" w14:textId="77777777" w:rsidR="00160081" w:rsidRPr="00160081" w:rsidRDefault="00160081" w:rsidP="00160081">
      <w:pPr>
        <w:pStyle w:val="Prrafodelista"/>
        <w:numPr>
          <w:ilvl w:val="0"/>
          <w:numId w:val="83"/>
        </w:numPr>
        <w:suppressAutoHyphens/>
        <w:spacing w:after="0" w:line="240" w:lineRule="auto"/>
        <w:ind w:left="1287" w:hanging="207"/>
        <w:jc w:val="both"/>
        <w:rPr>
          <w:rFonts w:eastAsiaTheme="majorEastAsia" w:cstheme="minorHAnsi"/>
          <w:color w:val="000000" w:themeColor="text1"/>
          <w:sz w:val="20"/>
          <w:szCs w:val="20"/>
        </w:rPr>
      </w:pPr>
      <w:r w:rsidRPr="00160081">
        <w:rPr>
          <w:rFonts w:eastAsiaTheme="majorEastAsia" w:cstheme="minorHAnsi"/>
          <w:color w:val="000000" w:themeColor="text1"/>
          <w:sz w:val="20"/>
          <w:szCs w:val="20"/>
        </w:rPr>
        <w:t>Los casos de uso definidos para riesgos tributarios no se implementarán como casos aislados ni como flujos independientes dentro de la suite, sino que formarán parte integral del SGRT, el cual agrupa, coordina y centraliza su ejecución.</w:t>
      </w:r>
    </w:p>
    <w:p w14:paraId="01C34F39" w14:textId="77777777" w:rsidR="00160081" w:rsidRPr="00160081" w:rsidRDefault="00160081" w:rsidP="00160081">
      <w:pPr>
        <w:pStyle w:val="Prrafodelista"/>
        <w:numPr>
          <w:ilvl w:val="0"/>
          <w:numId w:val="83"/>
        </w:numPr>
        <w:suppressAutoHyphens/>
        <w:spacing w:after="0" w:line="240" w:lineRule="auto"/>
        <w:ind w:left="1287" w:hanging="207"/>
        <w:rPr>
          <w:rFonts w:eastAsiaTheme="majorEastAsia" w:cstheme="minorHAnsi"/>
          <w:color w:val="000000" w:themeColor="text1"/>
          <w:sz w:val="20"/>
          <w:szCs w:val="20"/>
        </w:rPr>
      </w:pPr>
      <w:r w:rsidRPr="00160081">
        <w:rPr>
          <w:rFonts w:eastAsiaTheme="majorEastAsia" w:cstheme="minorHAnsi"/>
          <w:color w:val="000000" w:themeColor="text1"/>
          <w:sz w:val="20"/>
          <w:szCs w:val="20"/>
        </w:rPr>
        <w:t>El SGRT deberá proveer las pantallas, formularios, reglas, flujos, consultas, visores, aprobaciones y expedientes necesarios para ejecutar cada caso de uso.</w:t>
      </w:r>
    </w:p>
    <w:p w14:paraId="3CC2F23B" w14:textId="77777777" w:rsidR="00160081" w:rsidRPr="00160081" w:rsidRDefault="00160081" w:rsidP="00160081">
      <w:pPr>
        <w:pStyle w:val="Prrafodelista"/>
        <w:numPr>
          <w:ilvl w:val="0"/>
          <w:numId w:val="83"/>
        </w:numPr>
        <w:suppressAutoHyphens/>
        <w:spacing w:after="0" w:line="240" w:lineRule="auto"/>
        <w:ind w:left="1287" w:hanging="207"/>
        <w:rPr>
          <w:rFonts w:eastAsiaTheme="majorEastAsia" w:cstheme="minorHAnsi"/>
          <w:color w:val="000000" w:themeColor="text1"/>
          <w:sz w:val="20"/>
          <w:szCs w:val="20"/>
        </w:rPr>
      </w:pPr>
      <w:r w:rsidRPr="00160081">
        <w:rPr>
          <w:rFonts w:eastAsiaTheme="majorEastAsia" w:cstheme="minorHAnsi"/>
          <w:color w:val="000000" w:themeColor="text1"/>
          <w:sz w:val="20"/>
          <w:szCs w:val="20"/>
        </w:rPr>
        <w:t>Cualquier parametrización, lógica operativa o flujo requerido por los casos de uso deberá estar gestionado desde el SGRT.</w:t>
      </w:r>
    </w:p>
    <w:p w14:paraId="1DD3A7F1" w14:textId="77777777" w:rsidR="00160081" w:rsidRPr="00160081" w:rsidRDefault="00160081" w:rsidP="00160081">
      <w:pPr>
        <w:pStyle w:val="Prrafodelista"/>
        <w:suppressAutoHyphens/>
        <w:ind w:left="1440"/>
        <w:rPr>
          <w:rFonts w:eastAsiaTheme="majorEastAsia" w:cstheme="minorHAnsi"/>
          <w:color w:val="000000" w:themeColor="text1"/>
          <w:sz w:val="20"/>
          <w:szCs w:val="20"/>
        </w:rPr>
      </w:pPr>
    </w:p>
    <w:p w14:paraId="5BDE7F3F" w14:textId="77777777" w:rsidR="00160081" w:rsidRPr="00160081" w:rsidRDefault="00160081" w:rsidP="00160081">
      <w:pPr>
        <w:pStyle w:val="Ttulo2"/>
        <w:spacing w:before="0" w:after="0"/>
        <w:ind w:left="720"/>
        <w:rPr>
          <w:rFonts w:asciiTheme="minorHAnsi" w:eastAsia="Times New Roman" w:hAnsiTheme="minorHAnsi" w:cstheme="minorHAnsi"/>
          <w:b/>
          <w:bCs/>
          <w:color w:val="000000" w:themeColor="text1"/>
          <w:sz w:val="20"/>
          <w:szCs w:val="20"/>
        </w:rPr>
      </w:pPr>
      <w:bookmarkStart w:id="74" w:name="OLE_LINK77"/>
      <w:bookmarkStart w:id="75" w:name="_Toc217326218"/>
      <w:r w:rsidRPr="00160081">
        <w:rPr>
          <w:rFonts w:asciiTheme="minorHAnsi" w:eastAsia="Times New Roman" w:hAnsiTheme="minorHAnsi" w:cstheme="minorHAnsi"/>
          <w:b/>
          <w:bCs/>
          <w:color w:val="000000" w:themeColor="text1"/>
          <w:sz w:val="20"/>
          <w:szCs w:val="20"/>
        </w:rPr>
        <w:t xml:space="preserve">6.4.2.3 </w:t>
      </w:r>
      <w:bookmarkEnd w:id="74"/>
      <w:r w:rsidRPr="00160081">
        <w:rPr>
          <w:rFonts w:asciiTheme="minorHAnsi" w:eastAsia="Times New Roman" w:hAnsiTheme="minorHAnsi" w:cstheme="minorHAnsi"/>
          <w:b/>
          <w:bCs/>
          <w:color w:val="000000" w:themeColor="text1"/>
          <w:sz w:val="20"/>
          <w:szCs w:val="20"/>
        </w:rPr>
        <w:t xml:space="preserve">Alcance funcional y requerimientos del </w:t>
      </w:r>
      <w:bookmarkEnd w:id="75"/>
      <w:r w:rsidRPr="00160081">
        <w:rPr>
          <w:rFonts w:asciiTheme="minorHAnsi" w:eastAsia="Times New Roman" w:hAnsiTheme="minorHAnsi" w:cstheme="minorHAnsi"/>
          <w:b/>
          <w:bCs/>
          <w:color w:val="000000" w:themeColor="text1"/>
          <w:sz w:val="20"/>
          <w:szCs w:val="20"/>
        </w:rPr>
        <w:t>SGRT</w:t>
      </w:r>
    </w:p>
    <w:p w14:paraId="01C484A8" w14:textId="77777777" w:rsidR="00160081" w:rsidRPr="00160081" w:rsidRDefault="00160081" w:rsidP="00160081">
      <w:pPr>
        <w:suppressAutoHyphens/>
        <w:ind w:left="720"/>
        <w:rPr>
          <w:rFonts w:eastAsiaTheme="majorEastAsia" w:cstheme="minorHAnsi"/>
          <w:color w:val="000000" w:themeColor="text1"/>
          <w:sz w:val="20"/>
          <w:szCs w:val="20"/>
        </w:rPr>
      </w:pPr>
    </w:p>
    <w:p w14:paraId="6B21E2AB" w14:textId="77777777" w:rsidR="00160081" w:rsidRPr="00160081" w:rsidRDefault="00160081" w:rsidP="00160081">
      <w:pPr>
        <w:suppressAutoHyphens/>
        <w:ind w:left="720"/>
        <w:rPr>
          <w:rFonts w:eastAsiaTheme="majorEastAsia" w:cstheme="minorHAnsi"/>
          <w:color w:val="000000" w:themeColor="text1"/>
          <w:sz w:val="20"/>
          <w:szCs w:val="20"/>
        </w:rPr>
      </w:pPr>
      <w:r w:rsidRPr="00160081">
        <w:rPr>
          <w:rFonts w:eastAsiaTheme="majorEastAsia" w:cstheme="minorHAnsi"/>
          <w:color w:val="000000" w:themeColor="text1"/>
          <w:sz w:val="20"/>
          <w:szCs w:val="20"/>
        </w:rPr>
        <w:t>El SGRT deberá cubrir, como mínimo, las siguientes seis macro funcionalidades, cada una desarrollada conforme a los requerimientos funcionales descritos en esta sección:</w:t>
      </w:r>
    </w:p>
    <w:p w14:paraId="6E42A548" w14:textId="77777777" w:rsidR="00160081" w:rsidRPr="00160081" w:rsidRDefault="00160081" w:rsidP="00160081">
      <w:pPr>
        <w:pStyle w:val="Prrafodelista"/>
        <w:numPr>
          <w:ilvl w:val="0"/>
          <w:numId w:val="65"/>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Identificación de Riesgos Tributarios</w:t>
      </w:r>
    </w:p>
    <w:p w14:paraId="0DCBA0C3" w14:textId="77777777" w:rsidR="00160081" w:rsidRPr="00160081" w:rsidRDefault="00160081" w:rsidP="00160081">
      <w:pPr>
        <w:pStyle w:val="Prrafodelista"/>
        <w:numPr>
          <w:ilvl w:val="0"/>
          <w:numId w:val="65"/>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Priorización de Riesgos Tributarios</w:t>
      </w:r>
    </w:p>
    <w:p w14:paraId="57E31801" w14:textId="77777777" w:rsidR="00160081" w:rsidRPr="00160081" w:rsidRDefault="00160081" w:rsidP="00160081">
      <w:pPr>
        <w:pStyle w:val="Prrafodelista"/>
        <w:numPr>
          <w:ilvl w:val="0"/>
          <w:numId w:val="65"/>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Programación de Estrategias de Tratamiento</w:t>
      </w:r>
    </w:p>
    <w:p w14:paraId="3E1CBCEC" w14:textId="77777777" w:rsidR="00160081" w:rsidRPr="00160081" w:rsidRDefault="00160081" w:rsidP="00160081">
      <w:pPr>
        <w:pStyle w:val="Prrafodelista"/>
        <w:numPr>
          <w:ilvl w:val="0"/>
          <w:numId w:val="65"/>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Diseño de Pautas de Tratamiento y Papeles de Trabajo</w:t>
      </w:r>
    </w:p>
    <w:p w14:paraId="6F888C6A" w14:textId="77777777" w:rsidR="00160081" w:rsidRPr="00160081" w:rsidRDefault="00160081" w:rsidP="00160081">
      <w:pPr>
        <w:pStyle w:val="Prrafodelista"/>
        <w:numPr>
          <w:ilvl w:val="0"/>
          <w:numId w:val="65"/>
        </w:numPr>
        <w:tabs>
          <w:tab w:val="clear" w:pos="720"/>
          <w:tab w:val="num" w:pos="1440"/>
        </w:tabs>
        <w:suppressAutoHyphens/>
        <w:spacing w:after="0" w:line="240" w:lineRule="auto"/>
        <w:ind w:left="1440"/>
        <w:rPr>
          <w:rFonts w:eastAsiaTheme="majorEastAsia" w:cstheme="minorHAnsi"/>
          <w:color w:val="000000" w:themeColor="text1"/>
          <w:sz w:val="20"/>
          <w:szCs w:val="20"/>
        </w:rPr>
      </w:pPr>
      <w:r w:rsidRPr="00160081">
        <w:rPr>
          <w:rFonts w:eastAsiaTheme="majorEastAsia" w:cstheme="minorHAnsi"/>
          <w:color w:val="000000" w:themeColor="text1"/>
          <w:sz w:val="20"/>
          <w:szCs w:val="20"/>
        </w:rPr>
        <w:t>Evaluación de Riesgos Tributarios</w:t>
      </w:r>
    </w:p>
    <w:p w14:paraId="4703E98D" w14:textId="77777777" w:rsidR="00221BF3" w:rsidRDefault="00221BF3" w:rsidP="00160081">
      <w:pPr>
        <w:suppressAutoHyphens/>
        <w:ind w:left="720"/>
        <w:rPr>
          <w:rFonts w:cstheme="minorHAnsi"/>
          <w:b/>
          <w:bCs/>
          <w:color w:val="000000" w:themeColor="text1"/>
          <w:sz w:val="20"/>
          <w:szCs w:val="20"/>
        </w:rPr>
      </w:pPr>
      <w:bookmarkStart w:id="76" w:name="OLE_LINK78"/>
    </w:p>
    <w:p w14:paraId="7BE04D14" w14:textId="77777777" w:rsidR="00221BF3" w:rsidRDefault="00221BF3" w:rsidP="00160081">
      <w:pPr>
        <w:suppressAutoHyphens/>
        <w:ind w:left="720"/>
        <w:rPr>
          <w:rFonts w:cstheme="minorHAnsi"/>
          <w:b/>
          <w:bCs/>
          <w:color w:val="000000" w:themeColor="text1"/>
          <w:sz w:val="20"/>
          <w:szCs w:val="20"/>
        </w:rPr>
      </w:pPr>
    </w:p>
    <w:p w14:paraId="0F493165" w14:textId="7C23938C" w:rsidR="00160081" w:rsidRPr="00160081" w:rsidRDefault="00160081" w:rsidP="00160081">
      <w:pPr>
        <w:suppressAutoHyphens/>
        <w:ind w:left="720"/>
        <w:rPr>
          <w:rFonts w:eastAsiaTheme="majorEastAsia" w:cstheme="minorHAnsi"/>
          <w:b/>
          <w:bCs/>
          <w:color w:val="000000" w:themeColor="text1"/>
          <w:sz w:val="20"/>
          <w:szCs w:val="20"/>
        </w:rPr>
      </w:pPr>
      <w:r w:rsidRPr="00160081">
        <w:rPr>
          <w:rFonts w:cstheme="minorHAnsi"/>
          <w:b/>
          <w:bCs/>
          <w:color w:val="000000" w:themeColor="text1"/>
          <w:sz w:val="20"/>
          <w:szCs w:val="20"/>
        </w:rPr>
        <w:t xml:space="preserve">6.4.2.3.1 </w:t>
      </w:r>
      <w:bookmarkEnd w:id="76"/>
      <w:r w:rsidRPr="00160081">
        <w:rPr>
          <w:rFonts w:eastAsiaTheme="majorEastAsia" w:cstheme="minorHAnsi"/>
          <w:b/>
          <w:bCs/>
          <w:color w:val="000000" w:themeColor="text1"/>
          <w:sz w:val="20"/>
          <w:szCs w:val="20"/>
        </w:rPr>
        <w:t>Requerimientos funcionales</w:t>
      </w:r>
    </w:p>
    <w:p w14:paraId="05F89D67" w14:textId="77777777" w:rsidR="00160081" w:rsidRPr="00160081" w:rsidRDefault="00160081" w:rsidP="00160081">
      <w:pPr>
        <w:ind w:left="720"/>
        <w:rPr>
          <w:rFonts w:cstheme="minorHAnsi"/>
          <w:sz w:val="20"/>
          <w:szCs w:val="20"/>
        </w:rPr>
      </w:pPr>
    </w:p>
    <w:tbl>
      <w:tblPr>
        <w:tblW w:w="0" w:type="auto"/>
        <w:jc w:val="center"/>
        <w:tblCellMar>
          <w:left w:w="70" w:type="dxa"/>
          <w:right w:w="70" w:type="dxa"/>
        </w:tblCellMar>
        <w:tblLook w:val="04A0" w:firstRow="1" w:lastRow="0" w:firstColumn="1" w:lastColumn="0" w:noHBand="0" w:noVBand="1"/>
      </w:tblPr>
      <w:tblGrid>
        <w:gridCol w:w="498"/>
        <w:gridCol w:w="5083"/>
        <w:gridCol w:w="1076"/>
        <w:gridCol w:w="1271"/>
      </w:tblGrid>
      <w:tr w:rsidR="00160081" w:rsidRPr="00160081" w14:paraId="0E770A78" w14:textId="77777777" w:rsidTr="00EF5E37">
        <w:trPr>
          <w:trHeight w:val="255"/>
          <w:tblHeader/>
          <w:jc w:val="center"/>
        </w:trPr>
        <w:tc>
          <w:tcPr>
            <w:tcW w:w="0" w:type="auto"/>
            <w:tcBorders>
              <w:top w:val="single" w:sz="4" w:space="0" w:color="auto"/>
              <w:left w:val="single" w:sz="4" w:space="0" w:color="auto"/>
              <w:bottom w:val="single" w:sz="4" w:space="0" w:color="auto"/>
              <w:right w:val="single" w:sz="4" w:space="0" w:color="auto"/>
            </w:tcBorders>
            <w:shd w:val="clear" w:color="A6C9EC" w:fill="A6C9EC"/>
            <w:vAlign w:val="bottom"/>
            <w:hideMark/>
          </w:tcPr>
          <w:p w14:paraId="2DBB2441" w14:textId="77777777" w:rsidR="00160081" w:rsidRPr="00160081" w:rsidRDefault="00160081" w:rsidP="00EF5E37">
            <w:pPr>
              <w:jc w:val="center"/>
              <w:rPr>
                <w:rFonts w:cstheme="minorHAnsi"/>
                <w:b/>
                <w:bCs/>
                <w:color w:val="000000"/>
                <w:sz w:val="20"/>
                <w:szCs w:val="20"/>
              </w:rPr>
            </w:pPr>
            <w:r w:rsidRPr="00160081">
              <w:rPr>
                <w:rFonts w:cstheme="minorHAnsi"/>
                <w:b/>
                <w:bCs/>
                <w:color w:val="000000"/>
                <w:sz w:val="20"/>
                <w:szCs w:val="20"/>
              </w:rPr>
              <w:t>No.</w:t>
            </w:r>
          </w:p>
        </w:tc>
        <w:tc>
          <w:tcPr>
            <w:tcW w:w="0" w:type="auto"/>
            <w:tcBorders>
              <w:top w:val="single" w:sz="4" w:space="0" w:color="auto"/>
              <w:left w:val="nil"/>
              <w:bottom w:val="single" w:sz="4" w:space="0" w:color="auto"/>
              <w:right w:val="single" w:sz="4" w:space="0" w:color="auto"/>
            </w:tcBorders>
            <w:shd w:val="clear" w:color="A6C9EC" w:fill="A6C9EC"/>
            <w:vAlign w:val="bottom"/>
            <w:hideMark/>
          </w:tcPr>
          <w:p w14:paraId="7F6A8F0D" w14:textId="77777777" w:rsidR="00160081" w:rsidRPr="00160081" w:rsidRDefault="00160081" w:rsidP="00EF5E37">
            <w:pPr>
              <w:jc w:val="center"/>
              <w:rPr>
                <w:rFonts w:cstheme="minorHAnsi"/>
                <w:b/>
                <w:bCs/>
                <w:color w:val="000000"/>
                <w:sz w:val="20"/>
                <w:szCs w:val="20"/>
              </w:rPr>
            </w:pPr>
            <w:r w:rsidRPr="00160081">
              <w:rPr>
                <w:rFonts w:cstheme="minorHAnsi"/>
                <w:b/>
                <w:bCs/>
                <w:color w:val="000000"/>
                <w:sz w:val="20"/>
                <w:szCs w:val="20"/>
              </w:rPr>
              <w:t>DESCRIPCIÓN</w:t>
            </w:r>
          </w:p>
        </w:tc>
        <w:tc>
          <w:tcPr>
            <w:tcW w:w="0" w:type="auto"/>
            <w:gridSpan w:val="2"/>
            <w:tcBorders>
              <w:top w:val="single" w:sz="4" w:space="0" w:color="auto"/>
              <w:left w:val="nil"/>
              <w:bottom w:val="single" w:sz="4" w:space="0" w:color="auto"/>
              <w:right w:val="single" w:sz="4" w:space="0" w:color="auto"/>
            </w:tcBorders>
            <w:shd w:val="clear" w:color="DAE9F8" w:fill="DAE9F8"/>
            <w:vAlign w:val="bottom"/>
            <w:hideMark/>
          </w:tcPr>
          <w:p w14:paraId="35FEE3D4" w14:textId="77777777" w:rsidR="00160081" w:rsidRPr="00160081" w:rsidRDefault="00160081" w:rsidP="00EF5E37">
            <w:pPr>
              <w:jc w:val="center"/>
              <w:rPr>
                <w:rFonts w:cstheme="minorHAnsi"/>
                <w:b/>
                <w:bCs/>
                <w:color w:val="000000"/>
                <w:sz w:val="20"/>
                <w:szCs w:val="20"/>
              </w:rPr>
            </w:pPr>
            <w:r w:rsidRPr="00160081">
              <w:rPr>
                <w:rFonts w:cstheme="minorHAnsi"/>
                <w:b/>
                <w:bCs/>
                <w:color w:val="000000"/>
                <w:sz w:val="20"/>
                <w:szCs w:val="20"/>
              </w:rPr>
              <w:t>REQUERIMIENTO</w:t>
            </w:r>
          </w:p>
        </w:tc>
      </w:tr>
      <w:tr w:rsidR="00160081" w:rsidRPr="00160081" w14:paraId="2ECA4B0C"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07D957E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w:t>
            </w:r>
          </w:p>
        </w:tc>
        <w:tc>
          <w:tcPr>
            <w:tcW w:w="0" w:type="auto"/>
            <w:tcBorders>
              <w:top w:val="nil"/>
              <w:left w:val="nil"/>
              <w:bottom w:val="single" w:sz="4" w:space="0" w:color="auto"/>
              <w:right w:val="single" w:sz="4" w:space="0" w:color="auto"/>
            </w:tcBorders>
            <w:shd w:val="clear" w:color="DAE9F8" w:fill="DAE9F8"/>
            <w:vAlign w:val="bottom"/>
            <w:hideMark/>
          </w:tcPr>
          <w:p w14:paraId="380D8571"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IDENTIFICACIÓN DE RIESGOS TRIBUTARIOS</w:t>
            </w:r>
          </w:p>
        </w:tc>
        <w:tc>
          <w:tcPr>
            <w:tcW w:w="0" w:type="auto"/>
            <w:tcBorders>
              <w:top w:val="nil"/>
              <w:left w:val="nil"/>
              <w:bottom w:val="single" w:sz="4" w:space="0" w:color="auto"/>
              <w:right w:val="single" w:sz="4" w:space="0" w:color="auto"/>
            </w:tcBorders>
            <w:shd w:val="clear" w:color="DAE9F8" w:fill="DAE9F8"/>
            <w:vAlign w:val="bottom"/>
            <w:hideMark/>
          </w:tcPr>
          <w:p w14:paraId="79C5220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1AB8636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5E2B8CA2" w14:textId="77777777" w:rsidTr="00BD3D91">
        <w:trPr>
          <w:trHeight w:val="1020"/>
          <w:jc w:val="center"/>
        </w:trPr>
        <w:tc>
          <w:tcPr>
            <w:tcW w:w="0" w:type="auto"/>
            <w:tcBorders>
              <w:top w:val="nil"/>
              <w:left w:val="single" w:sz="4" w:space="0" w:color="auto"/>
              <w:bottom w:val="single" w:sz="4" w:space="0" w:color="auto"/>
              <w:right w:val="single" w:sz="4" w:space="0" w:color="auto"/>
            </w:tcBorders>
            <w:vAlign w:val="bottom"/>
            <w:hideMark/>
          </w:tcPr>
          <w:p w14:paraId="21ADE30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1.1</w:t>
            </w:r>
          </w:p>
        </w:tc>
        <w:tc>
          <w:tcPr>
            <w:tcW w:w="0" w:type="auto"/>
            <w:tcBorders>
              <w:top w:val="nil"/>
              <w:left w:val="nil"/>
              <w:bottom w:val="single" w:sz="4" w:space="0" w:color="auto"/>
              <w:right w:val="single" w:sz="4" w:space="0" w:color="auto"/>
            </w:tcBorders>
            <w:vAlign w:val="bottom"/>
            <w:hideMark/>
          </w:tcPr>
          <w:p w14:paraId="26EB4AF4"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la matriz de riesgos y causas vigente para que el usuario verifique si el riesgo tributario detectado existe catalogado. El sistema debe interactuar con los aplicativos de los procesos que gestionan sus casos asociados a riesgos tributarios, para la detección de nuevos riesgos.</w:t>
            </w:r>
          </w:p>
        </w:tc>
        <w:tc>
          <w:tcPr>
            <w:tcW w:w="0" w:type="auto"/>
            <w:tcBorders>
              <w:top w:val="nil"/>
              <w:left w:val="nil"/>
              <w:bottom w:val="single" w:sz="4" w:space="0" w:color="auto"/>
              <w:right w:val="single" w:sz="4" w:space="0" w:color="auto"/>
            </w:tcBorders>
            <w:vAlign w:val="bottom"/>
            <w:hideMark/>
          </w:tcPr>
          <w:p w14:paraId="2BA72A1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70677B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6AA85CCA"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47BF04E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1.2</w:t>
            </w:r>
          </w:p>
        </w:tc>
        <w:tc>
          <w:tcPr>
            <w:tcW w:w="0" w:type="auto"/>
            <w:tcBorders>
              <w:top w:val="nil"/>
              <w:left w:val="nil"/>
              <w:bottom w:val="single" w:sz="4" w:space="0" w:color="auto"/>
              <w:right w:val="single" w:sz="4" w:space="0" w:color="auto"/>
            </w:tcBorders>
            <w:vAlign w:val="bottom"/>
            <w:hideMark/>
          </w:tcPr>
          <w:p w14:paraId="3E2C51D0" w14:textId="77777777" w:rsidR="00EF5E37" w:rsidRPr="00EF5E37" w:rsidRDefault="00EF5E37" w:rsidP="00EF5E37">
            <w:pPr>
              <w:jc w:val="both"/>
              <w:rPr>
                <w:rFonts w:cstheme="minorHAnsi"/>
                <w:color w:val="000000"/>
                <w:sz w:val="20"/>
                <w:szCs w:val="20"/>
              </w:rPr>
            </w:pPr>
            <w:r w:rsidRPr="00EF5E37">
              <w:rPr>
                <w:rFonts w:cstheme="minorHAnsi"/>
                <w:color w:val="000000"/>
                <w:sz w:val="20"/>
                <w:szCs w:val="20"/>
              </w:rPr>
              <w:t>El sistema deberá presentar al usuario a manera de formulario, el formato de la ficha de identificación para su llenado o actualización.</w:t>
            </w:r>
          </w:p>
          <w:p w14:paraId="062D15C0" w14:textId="454B5D0C" w:rsidR="00160081" w:rsidRPr="00160081" w:rsidRDefault="00EF5E37" w:rsidP="00EF5E37">
            <w:pPr>
              <w:jc w:val="both"/>
              <w:rPr>
                <w:rFonts w:cstheme="minorHAnsi"/>
                <w:color w:val="000000"/>
                <w:sz w:val="20"/>
                <w:szCs w:val="20"/>
              </w:rPr>
            </w:pPr>
            <w:r w:rsidRPr="00EF5E37">
              <w:rPr>
                <w:rFonts w:cstheme="minorHAnsi"/>
                <w:color w:val="000000"/>
                <w:sz w:val="20"/>
                <w:szCs w:val="20"/>
              </w:rPr>
              <w:t xml:space="preserve"> Si se requiere actualizar una ficha existente, el sistema deberá mostrar la ficha de identificación vigente, y permitir incluir nuevos atributos o proponer modificaciones en los ya existentes.</w:t>
            </w:r>
          </w:p>
        </w:tc>
        <w:tc>
          <w:tcPr>
            <w:tcW w:w="0" w:type="auto"/>
            <w:tcBorders>
              <w:top w:val="nil"/>
              <w:left w:val="nil"/>
              <w:bottom w:val="single" w:sz="4" w:space="0" w:color="auto"/>
              <w:right w:val="single" w:sz="4" w:space="0" w:color="auto"/>
            </w:tcBorders>
            <w:vAlign w:val="bottom"/>
            <w:hideMark/>
          </w:tcPr>
          <w:p w14:paraId="0AA820D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6EFFE95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4D682C4"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57FCA0A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1.3</w:t>
            </w:r>
          </w:p>
        </w:tc>
        <w:tc>
          <w:tcPr>
            <w:tcW w:w="0" w:type="auto"/>
            <w:tcBorders>
              <w:top w:val="nil"/>
              <w:left w:val="nil"/>
              <w:bottom w:val="single" w:sz="4" w:space="0" w:color="auto"/>
              <w:right w:val="single" w:sz="4" w:space="0" w:color="auto"/>
            </w:tcBorders>
            <w:vAlign w:val="bottom"/>
            <w:hideMark/>
          </w:tcPr>
          <w:p w14:paraId="11ABF665"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Una vez se guarde la ficha de identificación el sistema deberá solicitar o crear un número de trámite a través del sistema interno para que la orden de trabajo sea direccionada al responsable de análisis.</w:t>
            </w:r>
          </w:p>
        </w:tc>
        <w:tc>
          <w:tcPr>
            <w:tcW w:w="0" w:type="auto"/>
            <w:tcBorders>
              <w:top w:val="nil"/>
              <w:left w:val="nil"/>
              <w:bottom w:val="single" w:sz="4" w:space="0" w:color="auto"/>
              <w:right w:val="single" w:sz="4" w:space="0" w:color="auto"/>
            </w:tcBorders>
            <w:vAlign w:val="bottom"/>
            <w:hideMark/>
          </w:tcPr>
          <w:p w14:paraId="0D183E5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61D15B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47A6ED8"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4463741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1.4</w:t>
            </w:r>
          </w:p>
        </w:tc>
        <w:tc>
          <w:tcPr>
            <w:tcW w:w="0" w:type="auto"/>
            <w:tcBorders>
              <w:top w:val="nil"/>
              <w:left w:val="nil"/>
              <w:bottom w:val="single" w:sz="4" w:space="0" w:color="auto"/>
              <w:right w:val="single" w:sz="4" w:space="0" w:color="auto"/>
            </w:tcBorders>
            <w:vAlign w:val="bottom"/>
            <w:hideMark/>
          </w:tcPr>
          <w:p w14:paraId="36697CDC"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07E7C9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623C75A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1BFF772"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7FB32E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1.5</w:t>
            </w:r>
          </w:p>
        </w:tc>
        <w:tc>
          <w:tcPr>
            <w:tcW w:w="0" w:type="auto"/>
            <w:tcBorders>
              <w:top w:val="nil"/>
              <w:left w:val="nil"/>
              <w:bottom w:val="single" w:sz="4" w:space="0" w:color="auto"/>
              <w:right w:val="single" w:sz="4" w:space="0" w:color="auto"/>
            </w:tcBorders>
            <w:vAlign w:val="bottom"/>
            <w:hideMark/>
          </w:tcPr>
          <w:p w14:paraId="6ADBB67B"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En caso de que el usuario identifique la necesidad de más insumos o aclaraciones el sistema deberá generar un mensaje de requerimiento de información adicional al detector del riesgo a través de los medios o sistemas internos.</w:t>
            </w:r>
          </w:p>
        </w:tc>
        <w:tc>
          <w:tcPr>
            <w:tcW w:w="0" w:type="auto"/>
            <w:tcBorders>
              <w:top w:val="nil"/>
              <w:left w:val="nil"/>
              <w:bottom w:val="single" w:sz="4" w:space="0" w:color="auto"/>
              <w:right w:val="single" w:sz="4" w:space="0" w:color="auto"/>
            </w:tcBorders>
            <w:vAlign w:val="bottom"/>
            <w:hideMark/>
          </w:tcPr>
          <w:p w14:paraId="09F4773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028EF7A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B3BAAB4"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7C849D3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1.6</w:t>
            </w:r>
          </w:p>
        </w:tc>
        <w:tc>
          <w:tcPr>
            <w:tcW w:w="0" w:type="auto"/>
            <w:tcBorders>
              <w:top w:val="nil"/>
              <w:left w:val="nil"/>
              <w:bottom w:val="single" w:sz="4" w:space="0" w:color="auto"/>
              <w:right w:val="single" w:sz="4" w:space="0" w:color="auto"/>
            </w:tcBorders>
            <w:vAlign w:val="bottom"/>
            <w:hideMark/>
          </w:tcPr>
          <w:p w14:paraId="06903ECB"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66C5B64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49EFAFE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5D99548C"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B106BF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1.7</w:t>
            </w:r>
          </w:p>
        </w:tc>
        <w:tc>
          <w:tcPr>
            <w:tcW w:w="0" w:type="auto"/>
            <w:tcBorders>
              <w:top w:val="nil"/>
              <w:left w:val="nil"/>
              <w:bottom w:val="single" w:sz="4" w:space="0" w:color="auto"/>
              <w:right w:val="single" w:sz="4" w:space="0" w:color="auto"/>
            </w:tcBorders>
            <w:vAlign w:val="bottom"/>
            <w:hideMark/>
          </w:tcPr>
          <w:p w14:paraId="1009F15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presentará al analista la información de la orden de trabajo considerando el proceso origen para que pueda realizar las actualizaciones correspondientes en la ficha de identificación.</w:t>
            </w:r>
          </w:p>
        </w:tc>
        <w:tc>
          <w:tcPr>
            <w:tcW w:w="0" w:type="auto"/>
            <w:tcBorders>
              <w:top w:val="nil"/>
              <w:left w:val="nil"/>
              <w:bottom w:val="single" w:sz="4" w:space="0" w:color="auto"/>
              <w:right w:val="single" w:sz="4" w:space="0" w:color="auto"/>
            </w:tcBorders>
            <w:vAlign w:val="bottom"/>
            <w:hideMark/>
          </w:tcPr>
          <w:p w14:paraId="687D5D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2C769E0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8862089"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5E4D6F2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1.8</w:t>
            </w:r>
          </w:p>
        </w:tc>
        <w:tc>
          <w:tcPr>
            <w:tcW w:w="0" w:type="auto"/>
            <w:tcBorders>
              <w:top w:val="nil"/>
              <w:left w:val="nil"/>
              <w:bottom w:val="single" w:sz="4" w:space="0" w:color="auto"/>
              <w:right w:val="single" w:sz="4" w:space="0" w:color="auto"/>
            </w:tcBorders>
            <w:vAlign w:val="bottom"/>
            <w:hideMark/>
          </w:tcPr>
          <w:p w14:paraId="5BAEF5E6"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permitirá al analista editar la información de la ficha de identificación e incluir de ser el caso </w:t>
            </w:r>
            <w:proofErr w:type="gramStart"/>
            <w:r w:rsidRPr="00160081">
              <w:rPr>
                <w:rFonts w:cstheme="minorHAnsi"/>
                <w:color w:val="000000"/>
                <w:sz w:val="20"/>
                <w:szCs w:val="20"/>
              </w:rPr>
              <w:t>mayor información</w:t>
            </w:r>
            <w:proofErr w:type="gramEnd"/>
            <w:r w:rsidRPr="00160081">
              <w:rPr>
                <w:rFonts w:cstheme="minorHAnsi"/>
                <w:color w:val="000000"/>
                <w:sz w:val="20"/>
                <w:szCs w:val="20"/>
              </w:rPr>
              <w:t xml:space="preserve"> relacionada a los atributos del riesgo. El sistema deberá guardar los cambios y ediciones realizadas para mantener la trazabilidad de los cambios.</w:t>
            </w:r>
          </w:p>
        </w:tc>
        <w:tc>
          <w:tcPr>
            <w:tcW w:w="0" w:type="auto"/>
            <w:tcBorders>
              <w:top w:val="nil"/>
              <w:left w:val="nil"/>
              <w:bottom w:val="single" w:sz="4" w:space="0" w:color="auto"/>
              <w:right w:val="single" w:sz="4" w:space="0" w:color="auto"/>
            </w:tcBorders>
            <w:vAlign w:val="bottom"/>
            <w:hideMark/>
          </w:tcPr>
          <w:p w14:paraId="621C6F9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7F2CBE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3B26212"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C9AEEB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1.9</w:t>
            </w:r>
          </w:p>
        </w:tc>
        <w:tc>
          <w:tcPr>
            <w:tcW w:w="0" w:type="auto"/>
            <w:tcBorders>
              <w:top w:val="nil"/>
              <w:left w:val="nil"/>
              <w:bottom w:val="single" w:sz="4" w:space="0" w:color="auto"/>
              <w:right w:val="single" w:sz="4" w:space="0" w:color="auto"/>
            </w:tcBorders>
            <w:vAlign w:val="bottom"/>
            <w:hideMark/>
          </w:tcPr>
          <w:p w14:paraId="2EC52FEF"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la nueva ficha de riesgos o actualizar la existente en base a la información generada en la actividad.</w:t>
            </w:r>
          </w:p>
        </w:tc>
        <w:tc>
          <w:tcPr>
            <w:tcW w:w="0" w:type="auto"/>
            <w:tcBorders>
              <w:top w:val="nil"/>
              <w:left w:val="nil"/>
              <w:bottom w:val="single" w:sz="4" w:space="0" w:color="auto"/>
              <w:right w:val="single" w:sz="4" w:space="0" w:color="auto"/>
            </w:tcBorders>
            <w:vAlign w:val="bottom"/>
            <w:hideMark/>
          </w:tcPr>
          <w:p w14:paraId="5DCCBFE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12EB308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519760C"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4D69260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1.10</w:t>
            </w:r>
          </w:p>
        </w:tc>
        <w:tc>
          <w:tcPr>
            <w:tcW w:w="0" w:type="auto"/>
            <w:tcBorders>
              <w:top w:val="nil"/>
              <w:left w:val="nil"/>
              <w:bottom w:val="single" w:sz="4" w:space="0" w:color="auto"/>
              <w:right w:val="single" w:sz="4" w:space="0" w:color="auto"/>
            </w:tcBorders>
            <w:vAlign w:val="bottom"/>
            <w:hideMark/>
          </w:tcPr>
          <w:p w14:paraId="55E3C98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 y se emita la respuesta al detector del riesgo con el resultado del análisis.</w:t>
            </w:r>
          </w:p>
        </w:tc>
        <w:tc>
          <w:tcPr>
            <w:tcW w:w="0" w:type="auto"/>
            <w:tcBorders>
              <w:top w:val="nil"/>
              <w:left w:val="nil"/>
              <w:bottom w:val="single" w:sz="4" w:space="0" w:color="auto"/>
              <w:right w:val="single" w:sz="4" w:space="0" w:color="auto"/>
            </w:tcBorders>
            <w:vAlign w:val="bottom"/>
            <w:hideMark/>
          </w:tcPr>
          <w:p w14:paraId="1EB83A9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1CAC327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3DE28B88"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CD26A4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1.11</w:t>
            </w:r>
          </w:p>
        </w:tc>
        <w:tc>
          <w:tcPr>
            <w:tcW w:w="0" w:type="auto"/>
            <w:tcBorders>
              <w:top w:val="nil"/>
              <w:left w:val="nil"/>
              <w:bottom w:val="single" w:sz="4" w:space="0" w:color="auto"/>
              <w:right w:val="single" w:sz="4" w:space="0" w:color="auto"/>
            </w:tcBorders>
            <w:vAlign w:val="bottom"/>
            <w:hideMark/>
          </w:tcPr>
          <w:p w14:paraId="7F43D6F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actualizar la matriz de riesgos y causas vigente conforme la información actualizada de la ficha de riesgos.</w:t>
            </w:r>
          </w:p>
        </w:tc>
        <w:tc>
          <w:tcPr>
            <w:tcW w:w="0" w:type="auto"/>
            <w:tcBorders>
              <w:top w:val="nil"/>
              <w:left w:val="nil"/>
              <w:bottom w:val="single" w:sz="4" w:space="0" w:color="auto"/>
              <w:right w:val="single" w:sz="4" w:space="0" w:color="auto"/>
            </w:tcBorders>
            <w:vAlign w:val="bottom"/>
            <w:hideMark/>
          </w:tcPr>
          <w:p w14:paraId="6899E1B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276428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01F1BDA"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370FC8A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1.12</w:t>
            </w:r>
          </w:p>
        </w:tc>
        <w:tc>
          <w:tcPr>
            <w:tcW w:w="0" w:type="auto"/>
            <w:tcBorders>
              <w:top w:val="nil"/>
              <w:left w:val="nil"/>
              <w:bottom w:val="single" w:sz="4" w:space="0" w:color="auto"/>
              <w:right w:val="single" w:sz="4" w:space="0" w:color="auto"/>
            </w:tcBorders>
            <w:vAlign w:val="bottom"/>
            <w:hideMark/>
          </w:tcPr>
          <w:p w14:paraId="7390BBBA"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127EB65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22263DD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E44C8DE"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347C3D4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w:t>
            </w:r>
          </w:p>
        </w:tc>
        <w:tc>
          <w:tcPr>
            <w:tcW w:w="0" w:type="auto"/>
            <w:tcBorders>
              <w:top w:val="nil"/>
              <w:left w:val="nil"/>
              <w:bottom w:val="single" w:sz="4" w:space="0" w:color="auto"/>
              <w:right w:val="single" w:sz="4" w:space="0" w:color="auto"/>
            </w:tcBorders>
            <w:shd w:val="clear" w:color="DAE9F8" w:fill="DAE9F8"/>
            <w:vAlign w:val="bottom"/>
            <w:hideMark/>
          </w:tcPr>
          <w:p w14:paraId="1D46D642"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ANÁLISIS DE RIESGOS TRIBUTARIOS VALORADOS</w:t>
            </w:r>
          </w:p>
        </w:tc>
        <w:tc>
          <w:tcPr>
            <w:tcW w:w="0" w:type="auto"/>
            <w:tcBorders>
              <w:top w:val="nil"/>
              <w:left w:val="nil"/>
              <w:bottom w:val="single" w:sz="4" w:space="0" w:color="auto"/>
              <w:right w:val="single" w:sz="4" w:space="0" w:color="auto"/>
            </w:tcBorders>
            <w:shd w:val="clear" w:color="DAE9F8" w:fill="DAE9F8"/>
            <w:vAlign w:val="bottom"/>
            <w:hideMark/>
          </w:tcPr>
          <w:p w14:paraId="41966E2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430DAA2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367744B1"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FDAE9C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2.1</w:t>
            </w:r>
          </w:p>
        </w:tc>
        <w:tc>
          <w:tcPr>
            <w:tcW w:w="0" w:type="auto"/>
            <w:tcBorders>
              <w:top w:val="nil"/>
              <w:left w:val="nil"/>
              <w:bottom w:val="single" w:sz="4" w:space="0" w:color="auto"/>
              <w:right w:val="single" w:sz="4" w:space="0" w:color="auto"/>
            </w:tcBorders>
            <w:vAlign w:val="bottom"/>
            <w:hideMark/>
          </w:tcPr>
          <w:p w14:paraId="7C475E5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58FA404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1380277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w:t>
            </w:r>
          </w:p>
        </w:tc>
      </w:tr>
      <w:tr w:rsidR="00160081" w:rsidRPr="00160081" w14:paraId="4C32F789"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18931E2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2.2</w:t>
            </w:r>
          </w:p>
        </w:tc>
        <w:tc>
          <w:tcPr>
            <w:tcW w:w="0" w:type="auto"/>
            <w:tcBorders>
              <w:top w:val="nil"/>
              <w:left w:val="nil"/>
              <w:bottom w:val="single" w:sz="4" w:space="0" w:color="auto"/>
              <w:right w:val="single" w:sz="4" w:space="0" w:color="auto"/>
            </w:tcBorders>
            <w:vAlign w:val="bottom"/>
            <w:hideMark/>
          </w:tcPr>
          <w:p w14:paraId="5EF9A96B"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2AE55E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3C66BB7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37D91F6"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5A4F0FC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2.3</w:t>
            </w:r>
          </w:p>
        </w:tc>
        <w:tc>
          <w:tcPr>
            <w:tcW w:w="0" w:type="auto"/>
            <w:tcBorders>
              <w:top w:val="nil"/>
              <w:left w:val="nil"/>
              <w:bottom w:val="single" w:sz="4" w:space="0" w:color="auto"/>
              <w:right w:val="single" w:sz="4" w:space="0" w:color="auto"/>
            </w:tcBorders>
            <w:vAlign w:val="bottom"/>
            <w:hideMark/>
          </w:tcPr>
          <w:p w14:paraId="261DD476"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permitirá al analista revisar el contenido de la matriz de riesgos y causas con las variables, atributos y/o necesidades de información identificadas.</w:t>
            </w:r>
          </w:p>
        </w:tc>
        <w:tc>
          <w:tcPr>
            <w:tcW w:w="0" w:type="auto"/>
            <w:tcBorders>
              <w:top w:val="nil"/>
              <w:left w:val="nil"/>
              <w:bottom w:val="single" w:sz="4" w:space="0" w:color="auto"/>
              <w:right w:val="single" w:sz="4" w:space="0" w:color="auto"/>
            </w:tcBorders>
            <w:vAlign w:val="bottom"/>
            <w:hideMark/>
          </w:tcPr>
          <w:p w14:paraId="616C740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18AD17F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79E578E"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4355506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2.4</w:t>
            </w:r>
          </w:p>
        </w:tc>
        <w:tc>
          <w:tcPr>
            <w:tcW w:w="0" w:type="auto"/>
            <w:tcBorders>
              <w:top w:val="nil"/>
              <w:left w:val="nil"/>
              <w:bottom w:val="single" w:sz="4" w:space="0" w:color="auto"/>
              <w:right w:val="single" w:sz="4" w:space="0" w:color="auto"/>
            </w:tcBorders>
            <w:vAlign w:val="bottom"/>
            <w:hideMark/>
          </w:tcPr>
          <w:p w14:paraId="3AFB3912"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solicitar y conectarse al sistema interno de análisis y explotación de datos, para obtener la calificación de </w:t>
            </w:r>
            <w:proofErr w:type="gramStart"/>
            <w:r w:rsidRPr="00160081">
              <w:rPr>
                <w:rFonts w:cstheme="minorHAnsi"/>
                <w:color w:val="000000"/>
                <w:sz w:val="20"/>
                <w:szCs w:val="20"/>
              </w:rPr>
              <w:t>riesgo.(</w:t>
            </w:r>
            <w:proofErr w:type="gramEnd"/>
            <w:r w:rsidRPr="00160081">
              <w:rPr>
                <w:rFonts w:cstheme="minorHAnsi"/>
                <w:color w:val="000000"/>
                <w:sz w:val="20"/>
                <w:szCs w:val="20"/>
              </w:rPr>
              <w:t>DATAFABRIC-STRATIO)</w:t>
            </w:r>
          </w:p>
        </w:tc>
        <w:tc>
          <w:tcPr>
            <w:tcW w:w="0" w:type="auto"/>
            <w:tcBorders>
              <w:top w:val="nil"/>
              <w:left w:val="nil"/>
              <w:bottom w:val="single" w:sz="4" w:space="0" w:color="auto"/>
              <w:right w:val="single" w:sz="4" w:space="0" w:color="auto"/>
            </w:tcBorders>
            <w:vAlign w:val="bottom"/>
            <w:hideMark/>
          </w:tcPr>
          <w:p w14:paraId="52C9285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A1DE31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AABDD0D"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5091A6C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2.5</w:t>
            </w:r>
          </w:p>
        </w:tc>
        <w:tc>
          <w:tcPr>
            <w:tcW w:w="0" w:type="auto"/>
            <w:tcBorders>
              <w:top w:val="nil"/>
              <w:left w:val="nil"/>
              <w:bottom w:val="single" w:sz="4" w:space="0" w:color="auto"/>
              <w:right w:val="single" w:sz="4" w:space="0" w:color="auto"/>
            </w:tcBorders>
            <w:vAlign w:val="bottom"/>
            <w:hideMark/>
          </w:tcPr>
          <w:p w14:paraId="7EB7B8A4"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solicitar fuentes de información al sistema o flujo correspondiente.</w:t>
            </w:r>
          </w:p>
        </w:tc>
        <w:tc>
          <w:tcPr>
            <w:tcW w:w="0" w:type="auto"/>
            <w:tcBorders>
              <w:top w:val="nil"/>
              <w:left w:val="nil"/>
              <w:bottom w:val="single" w:sz="4" w:space="0" w:color="auto"/>
              <w:right w:val="single" w:sz="4" w:space="0" w:color="auto"/>
            </w:tcBorders>
            <w:vAlign w:val="bottom"/>
            <w:hideMark/>
          </w:tcPr>
          <w:p w14:paraId="69336D0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4EB872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2B43BB07" w14:textId="77777777" w:rsidTr="00BD3D91">
        <w:trPr>
          <w:trHeight w:val="1020"/>
          <w:jc w:val="center"/>
        </w:trPr>
        <w:tc>
          <w:tcPr>
            <w:tcW w:w="0" w:type="auto"/>
            <w:tcBorders>
              <w:top w:val="nil"/>
              <w:left w:val="single" w:sz="4" w:space="0" w:color="auto"/>
              <w:bottom w:val="single" w:sz="4" w:space="0" w:color="auto"/>
              <w:right w:val="single" w:sz="4" w:space="0" w:color="auto"/>
            </w:tcBorders>
            <w:vAlign w:val="bottom"/>
            <w:hideMark/>
          </w:tcPr>
          <w:p w14:paraId="7E4BEA1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2.6</w:t>
            </w:r>
          </w:p>
        </w:tc>
        <w:tc>
          <w:tcPr>
            <w:tcW w:w="0" w:type="auto"/>
            <w:tcBorders>
              <w:top w:val="nil"/>
              <w:left w:val="nil"/>
              <w:bottom w:val="single" w:sz="4" w:space="0" w:color="auto"/>
              <w:right w:val="single" w:sz="4" w:space="0" w:color="auto"/>
            </w:tcBorders>
            <w:vAlign w:val="bottom"/>
            <w:hideMark/>
          </w:tcPr>
          <w:p w14:paraId="4160D1F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consolidar las valoraciones de cada riesgo identificadas, y permitir y/o configurar para que conforme las definiciones y parámetros establecidos por el analista (ponderaciones, pesos, segmentación, modelo, etc.) se genere la calificación de riesgo consolidada.</w:t>
            </w:r>
          </w:p>
        </w:tc>
        <w:tc>
          <w:tcPr>
            <w:tcW w:w="0" w:type="auto"/>
            <w:tcBorders>
              <w:top w:val="nil"/>
              <w:left w:val="nil"/>
              <w:bottom w:val="single" w:sz="4" w:space="0" w:color="auto"/>
              <w:right w:val="single" w:sz="4" w:space="0" w:color="auto"/>
            </w:tcBorders>
            <w:vAlign w:val="bottom"/>
            <w:hideMark/>
          </w:tcPr>
          <w:p w14:paraId="3A64E28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B52318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76C31D7"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606AB5F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2.7</w:t>
            </w:r>
          </w:p>
        </w:tc>
        <w:tc>
          <w:tcPr>
            <w:tcW w:w="0" w:type="auto"/>
            <w:tcBorders>
              <w:top w:val="nil"/>
              <w:left w:val="nil"/>
              <w:bottom w:val="single" w:sz="4" w:space="0" w:color="auto"/>
              <w:right w:val="single" w:sz="4" w:space="0" w:color="auto"/>
            </w:tcBorders>
            <w:vAlign w:val="bottom"/>
            <w:hideMark/>
          </w:tcPr>
          <w:p w14:paraId="78D47875"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w:t>
            </w:r>
          </w:p>
        </w:tc>
        <w:tc>
          <w:tcPr>
            <w:tcW w:w="0" w:type="auto"/>
            <w:tcBorders>
              <w:top w:val="nil"/>
              <w:left w:val="nil"/>
              <w:bottom w:val="single" w:sz="4" w:space="0" w:color="auto"/>
              <w:right w:val="single" w:sz="4" w:space="0" w:color="auto"/>
            </w:tcBorders>
            <w:vAlign w:val="bottom"/>
            <w:hideMark/>
          </w:tcPr>
          <w:p w14:paraId="0A1E20A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40D6B1B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D1D6A82" w14:textId="77777777" w:rsidTr="00BD3D91">
        <w:trPr>
          <w:trHeight w:val="1275"/>
          <w:jc w:val="center"/>
        </w:trPr>
        <w:tc>
          <w:tcPr>
            <w:tcW w:w="0" w:type="auto"/>
            <w:tcBorders>
              <w:top w:val="nil"/>
              <w:left w:val="single" w:sz="4" w:space="0" w:color="auto"/>
              <w:bottom w:val="single" w:sz="4" w:space="0" w:color="auto"/>
              <w:right w:val="single" w:sz="4" w:space="0" w:color="auto"/>
            </w:tcBorders>
            <w:vAlign w:val="bottom"/>
            <w:hideMark/>
          </w:tcPr>
          <w:p w14:paraId="5CC0CAB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2.8</w:t>
            </w:r>
          </w:p>
        </w:tc>
        <w:tc>
          <w:tcPr>
            <w:tcW w:w="0" w:type="auto"/>
            <w:tcBorders>
              <w:top w:val="nil"/>
              <w:left w:val="nil"/>
              <w:bottom w:val="single" w:sz="4" w:space="0" w:color="auto"/>
              <w:right w:val="single" w:sz="4" w:space="0" w:color="auto"/>
            </w:tcBorders>
            <w:vAlign w:val="bottom"/>
            <w:hideMark/>
          </w:tcPr>
          <w:p w14:paraId="6B2D9E80"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construir el Mapa de Riesgos y Mapa de Brechas conforme las definiciones y parámetros establecidos por el analista (segmentación, modelos, reglas de negocio, tipos de visualización, formas de agrupación etc.) Cuadros de mando parametrizables para riesgos tributarios que permita distinguir por segmentación u otra clasificación necesaria, estado de controles, avance de acciones y nivel de cumplimiento.</w:t>
            </w:r>
          </w:p>
        </w:tc>
        <w:tc>
          <w:tcPr>
            <w:tcW w:w="0" w:type="auto"/>
            <w:tcBorders>
              <w:top w:val="nil"/>
              <w:left w:val="nil"/>
              <w:bottom w:val="single" w:sz="4" w:space="0" w:color="auto"/>
              <w:right w:val="single" w:sz="4" w:space="0" w:color="auto"/>
            </w:tcBorders>
            <w:vAlign w:val="bottom"/>
            <w:hideMark/>
          </w:tcPr>
          <w:p w14:paraId="5026946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3180FA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0A8619D"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6C8BEC5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2.9</w:t>
            </w:r>
          </w:p>
        </w:tc>
        <w:tc>
          <w:tcPr>
            <w:tcW w:w="0" w:type="auto"/>
            <w:tcBorders>
              <w:top w:val="nil"/>
              <w:left w:val="nil"/>
              <w:bottom w:val="single" w:sz="4" w:space="0" w:color="auto"/>
              <w:right w:val="single" w:sz="4" w:space="0" w:color="auto"/>
            </w:tcBorders>
            <w:vAlign w:val="bottom"/>
            <w:hideMark/>
          </w:tcPr>
          <w:p w14:paraId="4EF6D432"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generar y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6E374F1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5AE2FA4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5A35F87"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66B5AC7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w:t>
            </w:r>
          </w:p>
        </w:tc>
        <w:tc>
          <w:tcPr>
            <w:tcW w:w="0" w:type="auto"/>
            <w:tcBorders>
              <w:top w:val="nil"/>
              <w:left w:val="nil"/>
              <w:bottom w:val="single" w:sz="4" w:space="0" w:color="auto"/>
              <w:right w:val="single" w:sz="4" w:space="0" w:color="auto"/>
            </w:tcBorders>
            <w:shd w:val="clear" w:color="DAE9F8" w:fill="DAE9F8"/>
            <w:vAlign w:val="bottom"/>
            <w:hideMark/>
          </w:tcPr>
          <w:p w14:paraId="62A6F2D4"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PRIORIZACIÓN DE RIESGOS TRIBUTARIOS</w:t>
            </w:r>
          </w:p>
        </w:tc>
        <w:tc>
          <w:tcPr>
            <w:tcW w:w="0" w:type="auto"/>
            <w:tcBorders>
              <w:top w:val="nil"/>
              <w:left w:val="nil"/>
              <w:bottom w:val="single" w:sz="4" w:space="0" w:color="auto"/>
              <w:right w:val="single" w:sz="4" w:space="0" w:color="auto"/>
            </w:tcBorders>
            <w:shd w:val="clear" w:color="DAE9F8" w:fill="DAE9F8"/>
            <w:vAlign w:val="bottom"/>
            <w:hideMark/>
          </w:tcPr>
          <w:p w14:paraId="39BE8A6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5DD1688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0B962BC2"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794942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3.1</w:t>
            </w:r>
          </w:p>
        </w:tc>
        <w:tc>
          <w:tcPr>
            <w:tcW w:w="0" w:type="auto"/>
            <w:tcBorders>
              <w:top w:val="nil"/>
              <w:left w:val="nil"/>
              <w:bottom w:val="single" w:sz="4" w:space="0" w:color="auto"/>
              <w:right w:val="single" w:sz="4" w:space="0" w:color="auto"/>
            </w:tcBorders>
            <w:vAlign w:val="bottom"/>
            <w:hideMark/>
          </w:tcPr>
          <w:p w14:paraId="0A03D13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4F7EF8C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551B18E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D22BE54"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1B1977E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3.2</w:t>
            </w:r>
          </w:p>
        </w:tc>
        <w:tc>
          <w:tcPr>
            <w:tcW w:w="0" w:type="auto"/>
            <w:tcBorders>
              <w:top w:val="nil"/>
              <w:left w:val="nil"/>
              <w:bottom w:val="single" w:sz="4" w:space="0" w:color="auto"/>
              <w:right w:val="single" w:sz="4" w:space="0" w:color="auto"/>
            </w:tcBorders>
            <w:vAlign w:val="bottom"/>
            <w:hideMark/>
          </w:tcPr>
          <w:p w14:paraId="3B19F598"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6DEF9AC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1C1217A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1790D701"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38EC9A1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3.3</w:t>
            </w:r>
          </w:p>
        </w:tc>
        <w:tc>
          <w:tcPr>
            <w:tcW w:w="0" w:type="auto"/>
            <w:tcBorders>
              <w:top w:val="nil"/>
              <w:left w:val="nil"/>
              <w:bottom w:val="single" w:sz="4" w:space="0" w:color="auto"/>
              <w:right w:val="single" w:sz="4" w:space="0" w:color="auto"/>
            </w:tcBorders>
            <w:vAlign w:val="bottom"/>
            <w:hideMark/>
          </w:tcPr>
          <w:p w14:paraId="67E0750A"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los insumos recibidos de los módulos de IDENTIFICACIÓN Y VALORACIÓN DE RIESGOS TRIBUTARIOS y de otros sistemas, y le deberá permitir registrar la información y análisis recopilado dentro de la orden de trabajo.</w:t>
            </w:r>
          </w:p>
        </w:tc>
        <w:tc>
          <w:tcPr>
            <w:tcW w:w="0" w:type="auto"/>
            <w:tcBorders>
              <w:top w:val="nil"/>
              <w:left w:val="nil"/>
              <w:bottom w:val="single" w:sz="4" w:space="0" w:color="auto"/>
              <w:right w:val="single" w:sz="4" w:space="0" w:color="auto"/>
            </w:tcBorders>
            <w:vAlign w:val="bottom"/>
            <w:hideMark/>
          </w:tcPr>
          <w:p w14:paraId="28F6F72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2575141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D8F25E1"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2A9505A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3.4</w:t>
            </w:r>
          </w:p>
        </w:tc>
        <w:tc>
          <w:tcPr>
            <w:tcW w:w="0" w:type="auto"/>
            <w:tcBorders>
              <w:top w:val="nil"/>
              <w:left w:val="nil"/>
              <w:bottom w:val="single" w:sz="4" w:space="0" w:color="auto"/>
              <w:right w:val="single" w:sz="4" w:space="0" w:color="auto"/>
            </w:tcBorders>
            <w:vAlign w:val="bottom"/>
            <w:hideMark/>
          </w:tcPr>
          <w:p w14:paraId="320590CF"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solicitar y conectarse al sistema interno de análisis y explotación de datos.</w:t>
            </w:r>
          </w:p>
        </w:tc>
        <w:tc>
          <w:tcPr>
            <w:tcW w:w="0" w:type="auto"/>
            <w:tcBorders>
              <w:top w:val="nil"/>
              <w:left w:val="nil"/>
              <w:bottom w:val="single" w:sz="4" w:space="0" w:color="auto"/>
              <w:right w:val="single" w:sz="4" w:space="0" w:color="auto"/>
            </w:tcBorders>
            <w:vAlign w:val="bottom"/>
            <w:hideMark/>
          </w:tcPr>
          <w:p w14:paraId="1A912C3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E59293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0097426"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7AD0F1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3.5</w:t>
            </w:r>
          </w:p>
        </w:tc>
        <w:tc>
          <w:tcPr>
            <w:tcW w:w="0" w:type="auto"/>
            <w:tcBorders>
              <w:top w:val="nil"/>
              <w:left w:val="nil"/>
              <w:bottom w:val="single" w:sz="4" w:space="0" w:color="auto"/>
              <w:right w:val="single" w:sz="4" w:space="0" w:color="auto"/>
            </w:tcBorders>
            <w:vAlign w:val="bottom"/>
            <w:hideMark/>
          </w:tcPr>
          <w:p w14:paraId="1528C3D8"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construir la priorización de atributos conforme las definiciones y parámetros establecidos por el analista (ponderaciones, pesos, calificaciones de riesgo, etc.)</w:t>
            </w:r>
          </w:p>
        </w:tc>
        <w:tc>
          <w:tcPr>
            <w:tcW w:w="0" w:type="auto"/>
            <w:tcBorders>
              <w:top w:val="nil"/>
              <w:left w:val="nil"/>
              <w:bottom w:val="single" w:sz="4" w:space="0" w:color="auto"/>
              <w:right w:val="single" w:sz="4" w:space="0" w:color="auto"/>
            </w:tcBorders>
            <w:vAlign w:val="bottom"/>
            <w:hideMark/>
          </w:tcPr>
          <w:p w14:paraId="57EDEAD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5D563A5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ADEDA57"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15B9AD6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3.6</w:t>
            </w:r>
          </w:p>
        </w:tc>
        <w:tc>
          <w:tcPr>
            <w:tcW w:w="0" w:type="auto"/>
            <w:tcBorders>
              <w:top w:val="nil"/>
              <w:left w:val="nil"/>
              <w:bottom w:val="single" w:sz="4" w:space="0" w:color="auto"/>
              <w:right w:val="single" w:sz="4" w:space="0" w:color="auto"/>
            </w:tcBorders>
            <w:vAlign w:val="bottom"/>
            <w:hideMark/>
          </w:tcPr>
          <w:p w14:paraId="0F3DE27F"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 ser editable para permitir registrar cambios en la propuesta de priorización y a su vez, guardar una </w:t>
            </w:r>
            <w:proofErr w:type="spellStart"/>
            <w:r w:rsidRPr="00160081">
              <w:rPr>
                <w:rFonts w:cstheme="minorHAnsi"/>
                <w:color w:val="000000"/>
                <w:sz w:val="20"/>
                <w:szCs w:val="20"/>
              </w:rPr>
              <w:t>bitacora</w:t>
            </w:r>
            <w:proofErr w:type="spellEnd"/>
            <w:r w:rsidRPr="00160081">
              <w:rPr>
                <w:rFonts w:cstheme="minorHAnsi"/>
                <w:color w:val="000000"/>
                <w:sz w:val="20"/>
                <w:szCs w:val="20"/>
              </w:rPr>
              <w:t xml:space="preserve"> o trazabilidad de dichos cambios con campos como: fecha de actualización y responsables.</w:t>
            </w:r>
          </w:p>
        </w:tc>
        <w:tc>
          <w:tcPr>
            <w:tcW w:w="0" w:type="auto"/>
            <w:tcBorders>
              <w:top w:val="nil"/>
              <w:left w:val="nil"/>
              <w:bottom w:val="single" w:sz="4" w:space="0" w:color="auto"/>
              <w:right w:val="single" w:sz="4" w:space="0" w:color="auto"/>
            </w:tcBorders>
            <w:vAlign w:val="bottom"/>
            <w:hideMark/>
          </w:tcPr>
          <w:p w14:paraId="5426DDB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2142BB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1CBD138"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226AE5A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3.7</w:t>
            </w:r>
          </w:p>
        </w:tc>
        <w:tc>
          <w:tcPr>
            <w:tcW w:w="0" w:type="auto"/>
            <w:tcBorders>
              <w:top w:val="nil"/>
              <w:left w:val="nil"/>
              <w:bottom w:val="single" w:sz="4" w:space="0" w:color="auto"/>
              <w:right w:val="single" w:sz="4" w:space="0" w:color="auto"/>
            </w:tcBorders>
            <w:vAlign w:val="bottom"/>
            <w:hideMark/>
          </w:tcPr>
          <w:p w14:paraId="79F89A98"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w:t>
            </w:r>
          </w:p>
        </w:tc>
        <w:tc>
          <w:tcPr>
            <w:tcW w:w="0" w:type="auto"/>
            <w:tcBorders>
              <w:top w:val="nil"/>
              <w:left w:val="nil"/>
              <w:bottom w:val="single" w:sz="4" w:space="0" w:color="auto"/>
              <w:right w:val="single" w:sz="4" w:space="0" w:color="auto"/>
            </w:tcBorders>
            <w:vAlign w:val="bottom"/>
            <w:hideMark/>
          </w:tcPr>
          <w:p w14:paraId="514FA72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7CBD58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1F1854EC" w14:textId="77777777" w:rsidTr="00BD3D91">
        <w:trPr>
          <w:trHeight w:val="1275"/>
          <w:jc w:val="center"/>
        </w:trPr>
        <w:tc>
          <w:tcPr>
            <w:tcW w:w="0" w:type="auto"/>
            <w:tcBorders>
              <w:top w:val="nil"/>
              <w:left w:val="single" w:sz="4" w:space="0" w:color="auto"/>
              <w:bottom w:val="single" w:sz="4" w:space="0" w:color="auto"/>
              <w:right w:val="single" w:sz="4" w:space="0" w:color="auto"/>
            </w:tcBorders>
            <w:vAlign w:val="bottom"/>
            <w:hideMark/>
          </w:tcPr>
          <w:p w14:paraId="6326334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3.8</w:t>
            </w:r>
          </w:p>
        </w:tc>
        <w:tc>
          <w:tcPr>
            <w:tcW w:w="0" w:type="auto"/>
            <w:tcBorders>
              <w:top w:val="nil"/>
              <w:left w:val="nil"/>
              <w:bottom w:val="single" w:sz="4" w:space="0" w:color="auto"/>
              <w:right w:val="single" w:sz="4" w:space="0" w:color="auto"/>
            </w:tcBorders>
            <w:vAlign w:val="bottom"/>
            <w:hideMark/>
          </w:tcPr>
          <w:p w14:paraId="4B89EDC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un visor dinámico y parametrizable con la propuesta de priorización aprobada y los insumos utilizados para que se pueda presentar y registrar las diferentes líneas de aprobación. Cuadros de mando para riesgos tributarios que permita distinguir por segmentación u otra clasificación necesaria, estado de controles, avance de acciones y nivel de cumplimiento.</w:t>
            </w:r>
          </w:p>
        </w:tc>
        <w:tc>
          <w:tcPr>
            <w:tcW w:w="0" w:type="auto"/>
            <w:tcBorders>
              <w:top w:val="nil"/>
              <w:left w:val="nil"/>
              <w:bottom w:val="single" w:sz="4" w:space="0" w:color="auto"/>
              <w:right w:val="single" w:sz="4" w:space="0" w:color="auto"/>
            </w:tcBorders>
            <w:vAlign w:val="bottom"/>
            <w:hideMark/>
          </w:tcPr>
          <w:p w14:paraId="0573D3F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797A16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176495F9"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37EAD6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3.9</w:t>
            </w:r>
          </w:p>
        </w:tc>
        <w:tc>
          <w:tcPr>
            <w:tcW w:w="0" w:type="auto"/>
            <w:tcBorders>
              <w:top w:val="nil"/>
              <w:left w:val="nil"/>
              <w:bottom w:val="single" w:sz="4" w:space="0" w:color="auto"/>
              <w:right w:val="single" w:sz="4" w:space="0" w:color="auto"/>
            </w:tcBorders>
            <w:vAlign w:val="bottom"/>
            <w:hideMark/>
          </w:tcPr>
          <w:p w14:paraId="2DCF8085"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reportes y documentos como el Acta de Comité y el Plan de Gestión de Cumplimiento Tributario, editables y almacenarlos con trazabilidad</w:t>
            </w:r>
          </w:p>
        </w:tc>
        <w:tc>
          <w:tcPr>
            <w:tcW w:w="0" w:type="auto"/>
            <w:tcBorders>
              <w:top w:val="nil"/>
              <w:left w:val="nil"/>
              <w:bottom w:val="single" w:sz="4" w:space="0" w:color="auto"/>
              <w:right w:val="single" w:sz="4" w:space="0" w:color="auto"/>
            </w:tcBorders>
            <w:vAlign w:val="bottom"/>
            <w:hideMark/>
          </w:tcPr>
          <w:p w14:paraId="0C822CF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903872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EEBEC57"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8DA2AE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3.10</w:t>
            </w:r>
          </w:p>
        </w:tc>
        <w:tc>
          <w:tcPr>
            <w:tcW w:w="0" w:type="auto"/>
            <w:tcBorders>
              <w:top w:val="nil"/>
              <w:left w:val="nil"/>
              <w:bottom w:val="single" w:sz="4" w:space="0" w:color="auto"/>
              <w:right w:val="single" w:sz="4" w:space="0" w:color="auto"/>
            </w:tcBorders>
            <w:vAlign w:val="bottom"/>
            <w:hideMark/>
          </w:tcPr>
          <w:p w14:paraId="34ADAC2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a los usuarios responsables para continuar con las gestiones correspondientes.</w:t>
            </w:r>
          </w:p>
        </w:tc>
        <w:tc>
          <w:tcPr>
            <w:tcW w:w="0" w:type="auto"/>
            <w:tcBorders>
              <w:top w:val="nil"/>
              <w:left w:val="nil"/>
              <w:bottom w:val="single" w:sz="4" w:space="0" w:color="auto"/>
              <w:right w:val="single" w:sz="4" w:space="0" w:color="auto"/>
            </w:tcBorders>
            <w:vAlign w:val="bottom"/>
            <w:hideMark/>
          </w:tcPr>
          <w:p w14:paraId="05B216C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1C20BC7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3BC52B69"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BD692C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3.11</w:t>
            </w:r>
          </w:p>
        </w:tc>
        <w:tc>
          <w:tcPr>
            <w:tcW w:w="0" w:type="auto"/>
            <w:tcBorders>
              <w:top w:val="nil"/>
              <w:left w:val="nil"/>
              <w:bottom w:val="single" w:sz="4" w:space="0" w:color="auto"/>
              <w:right w:val="single" w:sz="4" w:space="0" w:color="auto"/>
            </w:tcBorders>
            <w:vAlign w:val="bottom"/>
            <w:hideMark/>
          </w:tcPr>
          <w:p w14:paraId="61C9DFF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generar y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18A0FFD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384768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372391BC"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161F1E8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w:t>
            </w:r>
          </w:p>
        </w:tc>
        <w:tc>
          <w:tcPr>
            <w:tcW w:w="0" w:type="auto"/>
            <w:tcBorders>
              <w:top w:val="nil"/>
              <w:left w:val="nil"/>
              <w:bottom w:val="single" w:sz="4" w:space="0" w:color="auto"/>
              <w:right w:val="single" w:sz="4" w:space="0" w:color="auto"/>
            </w:tcBorders>
            <w:shd w:val="clear" w:color="DAE9F8" w:fill="DAE9F8"/>
            <w:vAlign w:val="bottom"/>
            <w:hideMark/>
          </w:tcPr>
          <w:p w14:paraId="42E22004"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PROGRAMACIÓN DE ESTRATEGIAS DE TRATAMIENTO</w:t>
            </w:r>
          </w:p>
        </w:tc>
        <w:tc>
          <w:tcPr>
            <w:tcW w:w="0" w:type="auto"/>
            <w:tcBorders>
              <w:top w:val="nil"/>
              <w:left w:val="nil"/>
              <w:bottom w:val="single" w:sz="4" w:space="0" w:color="auto"/>
              <w:right w:val="single" w:sz="4" w:space="0" w:color="auto"/>
            </w:tcBorders>
            <w:shd w:val="clear" w:color="DAE9F8" w:fill="DAE9F8"/>
            <w:vAlign w:val="bottom"/>
            <w:hideMark/>
          </w:tcPr>
          <w:p w14:paraId="77F31B8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447427B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1D11351A"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6A9AAA5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4.1</w:t>
            </w:r>
          </w:p>
        </w:tc>
        <w:tc>
          <w:tcPr>
            <w:tcW w:w="0" w:type="auto"/>
            <w:tcBorders>
              <w:top w:val="nil"/>
              <w:left w:val="nil"/>
              <w:bottom w:val="single" w:sz="4" w:space="0" w:color="auto"/>
              <w:right w:val="single" w:sz="4" w:space="0" w:color="auto"/>
            </w:tcBorders>
            <w:vAlign w:val="bottom"/>
            <w:hideMark/>
          </w:tcPr>
          <w:p w14:paraId="4A86C684"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2F7AA52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F1E6B9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A540104"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382EEC5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4.2</w:t>
            </w:r>
          </w:p>
        </w:tc>
        <w:tc>
          <w:tcPr>
            <w:tcW w:w="0" w:type="auto"/>
            <w:tcBorders>
              <w:top w:val="nil"/>
              <w:left w:val="nil"/>
              <w:bottom w:val="single" w:sz="4" w:space="0" w:color="auto"/>
              <w:right w:val="single" w:sz="4" w:space="0" w:color="auto"/>
            </w:tcBorders>
            <w:vAlign w:val="bottom"/>
            <w:hideMark/>
          </w:tcPr>
          <w:p w14:paraId="7B2E249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343EA44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6230EF2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38D21A04"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53B7B95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4.3</w:t>
            </w:r>
          </w:p>
        </w:tc>
        <w:tc>
          <w:tcPr>
            <w:tcW w:w="0" w:type="auto"/>
            <w:tcBorders>
              <w:top w:val="nil"/>
              <w:left w:val="nil"/>
              <w:bottom w:val="single" w:sz="4" w:space="0" w:color="auto"/>
              <w:right w:val="single" w:sz="4" w:space="0" w:color="auto"/>
            </w:tcBorders>
            <w:vAlign w:val="bottom"/>
            <w:hideMark/>
          </w:tcPr>
          <w:p w14:paraId="4A4F067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aplicar las reglas de asignación de acciones de tratamientos definidas para su diseño y programación.</w:t>
            </w:r>
          </w:p>
        </w:tc>
        <w:tc>
          <w:tcPr>
            <w:tcW w:w="0" w:type="auto"/>
            <w:tcBorders>
              <w:top w:val="nil"/>
              <w:left w:val="nil"/>
              <w:bottom w:val="single" w:sz="4" w:space="0" w:color="auto"/>
              <w:right w:val="single" w:sz="4" w:space="0" w:color="auto"/>
            </w:tcBorders>
            <w:vAlign w:val="bottom"/>
            <w:hideMark/>
          </w:tcPr>
          <w:p w14:paraId="54B8E43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5418070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29091B7"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6F3CE51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4.4</w:t>
            </w:r>
          </w:p>
        </w:tc>
        <w:tc>
          <w:tcPr>
            <w:tcW w:w="0" w:type="auto"/>
            <w:tcBorders>
              <w:top w:val="nil"/>
              <w:left w:val="nil"/>
              <w:bottom w:val="single" w:sz="4" w:space="0" w:color="auto"/>
              <w:right w:val="single" w:sz="4" w:space="0" w:color="auto"/>
            </w:tcBorders>
            <w:vAlign w:val="bottom"/>
            <w:hideMark/>
          </w:tcPr>
          <w:p w14:paraId="0E2CA04F"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w:t>
            </w:r>
          </w:p>
        </w:tc>
        <w:tc>
          <w:tcPr>
            <w:tcW w:w="0" w:type="auto"/>
            <w:tcBorders>
              <w:top w:val="nil"/>
              <w:left w:val="nil"/>
              <w:bottom w:val="single" w:sz="4" w:space="0" w:color="auto"/>
              <w:right w:val="single" w:sz="4" w:space="0" w:color="auto"/>
            </w:tcBorders>
            <w:vAlign w:val="bottom"/>
            <w:hideMark/>
          </w:tcPr>
          <w:p w14:paraId="610EB62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0C6F3D5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BF9D98A"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1F32D6E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4.5</w:t>
            </w:r>
          </w:p>
        </w:tc>
        <w:tc>
          <w:tcPr>
            <w:tcW w:w="0" w:type="auto"/>
            <w:tcBorders>
              <w:top w:val="nil"/>
              <w:left w:val="nil"/>
              <w:bottom w:val="single" w:sz="4" w:space="0" w:color="auto"/>
              <w:right w:val="single" w:sz="4" w:space="0" w:color="auto"/>
            </w:tcBorders>
            <w:vAlign w:val="bottom"/>
            <w:hideMark/>
          </w:tcPr>
          <w:p w14:paraId="7C6BF379"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el detalle de disponibilidad de recursos para determinar la carga de trabajo y recursos disponibles por jurisdicción y proceso ejecutor. Y permitirá seleccionar las acciones a despachar para que se registren en el sistema y se envíen para su atención.</w:t>
            </w:r>
          </w:p>
        </w:tc>
        <w:tc>
          <w:tcPr>
            <w:tcW w:w="0" w:type="auto"/>
            <w:tcBorders>
              <w:top w:val="nil"/>
              <w:left w:val="nil"/>
              <w:bottom w:val="single" w:sz="4" w:space="0" w:color="auto"/>
              <w:right w:val="single" w:sz="4" w:space="0" w:color="auto"/>
            </w:tcBorders>
            <w:vAlign w:val="bottom"/>
            <w:hideMark/>
          </w:tcPr>
          <w:p w14:paraId="54685DB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2DF4F8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E3F9BD8"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B1B362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4.6</w:t>
            </w:r>
          </w:p>
        </w:tc>
        <w:tc>
          <w:tcPr>
            <w:tcW w:w="0" w:type="auto"/>
            <w:tcBorders>
              <w:top w:val="nil"/>
              <w:left w:val="nil"/>
              <w:bottom w:val="single" w:sz="4" w:space="0" w:color="auto"/>
              <w:right w:val="single" w:sz="4" w:space="0" w:color="auto"/>
            </w:tcBorders>
            <w:vAlign w:val="bottom"/>
            <w:hideMark/>
          </w:tcPr>
          <w:p w14:paraId="2DF9911F"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despachar en los aplicativos o sistemas internos, las acciones de tratamiento a cada proceso y jurisdicción para su recepción, revisión y despacho.</w:t>
            </w:r>
          </w:p>
        </w:tc>
        <w:tc>
          <w:tcPr>
            <w:tcW w:w="0" w:type="auto"/>
            <w:tcBorders>
              <w:top w:val="nil"/>
              <w:left w:val="nil"/>
              <w:bottom w:val="single" w:sz="4" w:space="0" w:color="auto"/>
              <w:right w:val="single" w:sz="4" w:space="0" w:color="auto"/>
            </w:tcBorders>
            <w:vAlign w:val="bottom"/>
            <w:hideMark/>
          </w:tcPr>
          <w:p w14:paraId="5A411E0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F294B6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561D3FE"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94A81F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4.7</w:t>
            </w:r>
          </w:p>
        </w:tc>
        <w:tc>
          <w:tcPr>
            <w:tcW w:w="0" w:type="auto"/>
            <w:tcBorders>
              <w:top w:val="nil"/>
              <w:left w:val="nil"/>
              <w:bottom w:val="single" w:sz="4" w:space="0" w:color="auto"/>
              <w:right w:val="single" w:sz="4" w:space="0" w:color="auto"/>
            </w:tcBorders>
            <w:vAlign w:val="bottom"/>
            <w:hideMark/>
          </w:tcPr>
          <w:p w14:paraId="2A699C8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actualizar el inventario de acciones de tratamiento conforme los despachos realizados para generar información actualizada sobre las acciones en ejecución de los procesos, acciones pendientes a despachar y disponibilidad de recursos.</w:t>
            </w:r>
          </w:p>
        </w:tc>
        <w:tc>
          <w:tcPr>
            <w:tcW w:w="0" w:type="auto"/>
            <w:tcBorders>
              <w:top w:val="nil"/>
              <w:left w:val="nil"/>
              <w:bottom w:val="single" w:sz="4" w:space="0" w:color="auto"/>
              <w:right w:val="single" w:sz="4" w:space="0" w:color="auto"/>
            </w:tcBorders>
            <w:vAlign w:val="bottom"/>
            <w:hideMark/>
          </w:tcPr>
          <w:p w14:paraId="30A7BEA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2E4A59C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BD4E8B4"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450EAEC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4.8</w:t>
            </w:r>
          </w:p>
        </w:tc>
        <w:tc>
          <w:tcPr>
            <w:tcW w:w="0" w:type="auto"/>
            <w:tcBorders>
              <w:top w:val="nil"/>
              <w:left w:val="nil"/>
              <w:bottom w:val="single" w:sz="4" w:space="0" w:color="auto"/>
              <w:right w:val="single" w:sz="4" w:space="0" w:color="auto"/>
            </w:tcBorders>
            <w:vAlign w:val="bottom"/>
            <w:hideMark/>
          </w:tcPr>
          <w:p w14:paraId="5F54241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a los usuarios responsables para continuar con las gestiones correspondientes.</w:t>
            </w:r>
          </w:p>
        </w:tc>
        <w:tc>
          <w:tcPr>
            <w:tcW w:w="0" w:type="auto"/>
            <w:tcBorders>
              <w:top w:val="nil"/>
              <w:left w:val="nil"/>
              <w:bottom w:val="single" w:sz="4" w:space="0" w:color="auto"/>
              <w:right w:val="single" w:sz="4" w:space="0" w:color="auto"/>
            </w:tcBorders>
            <w:vAlign w:val="bottom"/>
            <w:hideMark/>
          </w:tcPr>
          <w:p w14:paraId="39F8923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100E335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27331232"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01EFEF2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4.9</w:t>
            </w:r>
          </w:p>
        </w:tc>
        <w:tc>
          <w:tcPr>
            <w:tcW w:w="0" w:type="auto"/>
            <w:tcBorders>
              <w:top w:val="nil"/>
              <w:left w:val="nil"/>
              <w:bottom w:val="single" w:sz="4" w:space="0" w:color="auto"/>
              <w:right w:val="single" w:sz="4" w:space="0" w:color="auto"/>
            </w:tcBorders>
            <w:vAlign w:val="bottom"/>
            <w:hideMark/>
          </w:tcPr>
          <w:p w14:paraId="6CB74426"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generar y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4DBE457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177CBB8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2858705D"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6D4DCE1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w:t>
            </w:r>
          </w:p>
        </w:tc>
        <w:tc>
          <w:tcPr>
            <w:tcW w:w="0" w:type="auto"/>
            <w:tcBorders>
              <w:top w:val="nil"/>
              <w:left w:val="nil"/>
              <w:bottom w:val="single" w:sz="4" w:space="0" w:color="auto"/>
              <w:right w:val="single" w:sz="4" w:space="0" w:color="auto"/>
            </w:tcBorders>
            <w:shd w:val="clear" w:color="DAE9F8" w:fill="DAE9F8"/>
            <w:vAlign w:val="bottom"/>
            <w:hideMark/>
          </w:tcPr>
          <w:p w14:paraId="5CE7746F"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DISEÑO DE PAUTAS DE TRATAMIENTO Y PT</w:t>
            </w:r>
          </w:p>
        </w:tc>
        <w:tc>
          <w:tcPr>
            <w:tcW w:w="0" w:type="auto"/>
            <w:tcBorders>
              <w:top w:val="nil"/>
              <w:left w:val="nil"/>
              <w:bottom w:val="single" w:sz="4" w:space="0" w:color="auto"/>
              <w:right w:val="single" w:sz="4" w:space="0" w:color="auto"/>
            </w:tcBorders>
            <w:shd w:val="clear" w:color="DAE9F8" w:fill="DAE9F8"/>
            <w:vAlign w:val="bottom"/>
            <w:hideMark/>
          </w:tcPr>
          <w:p w14:paraId="366AB5B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36CB17A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78C49071"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63DB66D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5.1</w:t>
            </w:r>
          </w:p>
        </w:tc>
        <w:tc>
          <w:tcPr>
            <w:tcW w:w="0" w:type="auto"/>
            <w:tcBorders>
              <w:top w:val="nil"/>
              <w:left w:val="nil"/>
              <w:bottom w:val="single" w:sz="4" w:space="0" w:color="auto"/>
              <w:right w:val="single" w:sz="4" w:space="0" w:color="auto"/>
            </w:tcBorders>
            <w:vAlign w:val="bottom"/>
            <w:hideMark/>
          </w:tcPr>
          <w:p w14:paraId="7304414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054858F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388F8F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23540CFD"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27E6486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5.2</w:t>
            </w:r>
          </w:p>
        </w:tc>
        <w:tc>
          <w:tcPr>
            <w:tcW w:w="0" w:type="auto"/>
            <w:tcBorders>
              <w:top w:val="nil"/>
              <w:left w:val="nil"/>
              <w:bottom w:val="single" w:sz="4" w:space="0" w:color="auto"/>
              <w:right w:val="single" w:sz="4" w:space="0" w:color="auto"/>
            </w:tcBorders>
            <w:vAlign w:val="bottom"/>
            <w:hideMark/>
          </w:tcPr>
          <w:p w14:paraId="48742295"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2A5F8A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2E4EE28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2FC1275D"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6A82FA2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5.3</w:t>
            </w:r>
          </w:p>
        </w:tc>
        <w:tc>
          <w:tcPr>
            <w:tcW w:w="0" w:type="auto"/>
            <w:tcBorders>
              <w:top w:val="nil"/>
              <w:left w:val="nil"/>
              <w:bottom w:val="single" w:sz="4" w:space="0" w:color="auto"/>
              <w:right w:val="single" w:sz="4" w:space="0" w:color="auto"/>
            </w:tcBorders>
            <w:vAlign w:val="bottom"/>
            <w:hideMark/>
          </w:tcPr>
          <w:p w14:paraId="3DC2DB58"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una pantalla diferente para cada tipo de producto de diseño configurable y editable.</w:t>
            </w:r>
          </w:p>
        </w:tc>
        <w:tc>
          <w:tcPr>
            <w:tcW w:w="0" w:type="auto"/>
            <w:tcBorders>
              <w:top w:val="nil"/>
              <w:left w:val="nil"/>
              <w:bottom w:val="single" w:sz="4" w:space="0" w:color="auto"/>
              <w:right w:val="single" w:sz="4" w:space="0" w:color="auto"/>
            </w:tcBorders>
            <w:vAlign w:val="bottom"/>
            <w:hideMark/>
          </w:tcPr>
          <w:p w14:paraId="7765958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F25949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8086495"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200FE67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5.4</w:t>
            </w:r>
          </w:p>
        </w:tc>
        <w:tc>
          <w:tcPr>
            <w:tcW w:w="0" w:type="auto"/>
            <w:tcBorders>
              <w:top w:val="nil"/>
              <w:left w:val="nil"/>
              <w:bottom w:val="single" w:sz="4" w:space="0" w:color="auto"/>
              <w:right w:val="single" w:sz="4" w:space="0" w:color="auto"/>
            </w:tcBorders>
            <w:vAlign w:val="bottom"/>
            <w:hideMark/>
          </w:tcPr>
          <w:p w14:paraId="1D09283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consumir las fuentes de información necesarias para presentarlas al usuario y pueda diseñar el papel de trabajo o formulario cuando este lo requiera.</w:t>
            </w:r>
          </w:p>
        </w:tc>
        <w:tc>
          <w:tcPr>
            <w:tcW w:w="0" w:type="auto"/>
            <w:tcBorders>
              <w:top w:val="nil"/>
              <w:left w:val="nil"/>
              <w:bottom w:val="single" w:sz="4" w:space="0" w:color="auto"/>
              <w:right w:val="single" w:sz="4" w:space="0" w:color="auto"/>
            </w:tcBorders>
            <w:vAlign w:val="bottom"/>
            <w:hideMark/>
          </w:tcPr>
          <w:p w14:paraId="0359912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1E22CC6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70C4B0E4"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350787D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5.5</w:t>
            </w:r>
          </w:p>
        </w:tc>
        <w:tc>
          <w:tcPr>
            <w:tcW w:w="0" w:type="auto"/>
            <w:tcBorders>
              <w:top w:val="nil"/>
              <w:left w:val="nil"/>
              <w:bottom w:val="single" w:sz="4" w:space="0" w:color="auto"/>
              <w:right w:val="single" w:sz="4" w:space="0" w:color="auto"/>
            </w:tcBorders>
            <w:vAlign w:val="bottom"/>
            <w:hideMark/>
          </w:tcPr>
          <w:p w14:paraId="7CF20EAD"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w:t>
            </w:r>
          </w:p>
        </w:tc>
        <w:tc>
          <w:tcPr>
            <w:tcW w:w="0" w:type="auto"/>
            <w:tcBorders>
              <w:top w:val="nil"/>
              <w:left w:val="nil"/>
              <w:bottom w:val="single" w:sz="4" w:space="0" w:color="auto"/>
              <w:right w:val="single" w:sz="4" w:space="0" w:color="auto"/>
            </w:tcBorders>
            <w:vAlign w:val="bottom"/>
            <w:hideMark/>
          </w:tcPr>
          <w:p w14:paraId="6D29F41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D84F55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9FC827D"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44C3142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5.6</w:t>
            </w:r>
          </w:p>
        </w:tc>
        <w:tc>
          <w:tcPr>
            <w:tcW w:w="0" w:type="auto"/>
            <w:tcBorders>
              <w:top w:val="nil"/>
              <w:left w:val="nil"/>
              <w:bottom w:val="single" w:sz="4" w:space="0" w:color="auto"/>
              <w:right w:val="single" w:sz="4" w:space="0" w:color="auto"/>
            </w:tcBorders>
            <w:vAlign w:val="bottom"/>
            <w:hideMark/>
          </w:tcPr>
          <w:p w14:paraId="0AE85F8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mediante </w:t>
            </w:r>
            <w:proofErr w:type="spellStart"/>
            <w:r w:rsidRPr="00160081">
              <w:rPr>
                <w:rFonts w:cstheme="minorHAnsi"/>
                <w:color w:val="000000"/>
                <w:sz w:val="20"/>
                <w:szCs w:val="20"/>
              </w:rPr>
              <w:t>capacidade</w:t>
            </w:r>
            <w:proofErr w:type="spellEnd"/>
            <w:r w:rsidRPr="00160081">
              <w:rPr>
                <w:rFonts w:cstheme="minorHAnsi"/>
                <w:color w:val="000000"/>
                <w:sz w:val="20"/>
                <w:szCs w:val="20"/>
              </w:rPr>
              <w:t xml:space="preserve"> de integración deberá despachar en los aplicativos o sistemas internos para sus respectivas gestiones.</w:t>
            </w:r>
          </w:p>
        </w:tc>
        <w:tc>
          <w:tcPr>
            <w:tcW w:w="0" w:type="auto"/>
            <w:tcBorders>
              <w:top w:val="nil"/>
              <w:left w:val="nil"/>
              <w:bottom w:val="single" w:sz="4" w:space="0" w:color="auto"/>
              <w:right w:val="single" w:sz="4" w:space="0" w:color="auto"/>
            </w:tcBorders>
            <w:vAlign w:val="bottom"/>
            <w:hideMark/>
          </w:tcPr>
          <w:p w14:paraId="0FA6801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18C99F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94593D4"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3726A76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5.7</w:t>
            </w:r>
          </w:p>
        </w:tc>
        <w:tc>
          <w:tcPr>
            <w:tcW w:w="0" w:type="auto"/>
            <w:tcBorders>
              <w:top w:val="nil"/>
              <w:left w:val="nil"/>
              <w:bottom w:val="single" w:sz="4" w:space="0" w:color="auto"/>
              <w:right w:val="single" w:sz="4" w:space="0" w:color="auto"/>
            </w:tcBorders>
            <w:vAlign w:val="bottom"/>
            <w:hideMark/>
          </w:tcPr>
          <w:p w14:paraId="60F06C39"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y entregar mediante capacidades de integración al módulo de programación sus resultados.</w:t>
            </w:r>
          </w:p>
        </w:tc>
        <w:tc>
          <w:tcPr>
            <w:tcW w:w="0" w:type="auto"/>
            <w:tcBorders>
              <w:top w:val="nil"/>
              <w:left w:val="nil"/>
              <w:bottom w:val="single" w:sz="4" w:space="0" w:color="auto"/>
              <w:right w:val="single" w:sz="4" w:space="0" w:color="auto"/>
            </w:tcBorders>
            <w:vAlign w:val="bottom"/>
            <w:hideMark/>
          </w:tcPr>
          <w:p w14:paraId="0274B46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5239AA4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328D3CB"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4D44DB1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5.8</w:t>
            </w:r>
          </w:p>
        </w:tc>
        <w:tc>
          <w:tcPr>
            <w:tcW w:w="0" w:type="auto"/>
            <w:tcBorders>
              <w:top w:val="nil"/>
              <w:left w:val="nil"/>
              <w:bottom w:val="single" w:sz="4" w:space="0" w:color="auto"/>
              <w:right w:val="single" w:sz="4" w:space="0" w:color="auto"/>
            </w:tcBorders>
            <w:vAlign w:val="bottom"/>
            <w:hideMark/>
          </w:tcPr>
          <w:p w14:paraId="65951E13"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a los usuarios responsables para continuar con las gestiones correspondientes.</w:t>
            </w:r>
          </w:p>
        </w:tc>
        <w:tc>
          <w:tcPr>
            <w:tcW w:w="0" w:type="auto"/>
            <w:tcBorders>
              <w:top w:val="nil"/>
              <w:left w:val="nil"/>
              <w:bottom w:val="single" w:sz="4" w:space="0" w:color="auto"/>
              <w:right w:val="single" w:sz="4" w:space="0" w:color="auto"/>
            </w:tcBorders>
            <w:vAlign w:val="bottom"/>
            <w:hideMark/>
          </w:tcPr>
          <w:p w14:paraId="24AFA54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01638D1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4950142C"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3051F92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5.9</w:t>
            </w:r>
          </w:p>
        </w:tc>
        <w:tc>
          <w:tcPr>
            <w:tcW w:w="0" w:type="auto"/>
            <w:tcBorders>
              <w:top w:val="nil"/>
              <w:left w:val="nil"/>
              <w:bottom w:val="single" w:sz="4" w:space="0" w:color="auto"/>
              <w:right w:val="single" w:sz="4" w:space="0" w:color="auto"/>
            </w:tcBorders>
            <w:vAlign w:val="bottom"/>
            <w:hideMark/>
          </w:tcPr>
          <w:p w14:paraId="53D0FDE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generar y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13A9567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6267F5D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35050BB"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2022C39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w:t>
            </w:r>
          </w:p>
        </w:tc>
        <w:tc>
          <w:tcPr>
            <w:tcW w:w="0" w:type="auto"/>
            <w:tcBorders>
              <w:top w:val="nil"/>
              <w:left w:val="nil"/>
              <w:bottom w:val="single" w:sz="4" w:space="0" w:color="auto"/>
              <w:right w:val="single" w:sz="4" w:space="0" w:color="auto"/>
            </w:tcBorders>
            <w:shd w:val="clear" w:color="DAE9F8" w:fill="DAE9F8"/>
            <w:vAlign w:val="bottom"/>
            <w:hideMark/>
          </w:tcPr>
          <w:p w14:paraId="70B71987"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EVALUACIÓN</w:t>
            </w:r>
          </w:p>
        </w:tc>
        <w:tc>
          <w:tcPr>
            <w:tcW w:w="0" w:type="auto"/>
            <w:tcBorders>
              <w:top w:val="nil"/>
              <w:left w:val="nil"/>
              <w:bottom w:val="single" w:sz="4" w:space="0" w:color="auto"/>
              <w:right w:val="single" w:sz="4" w:space="0" w:color="auto"/>
            </w:tcBorders>
            <w:shd w:val="clear" w:color="DAE9F8" w:fill="DAE9F8"/>
            <w:vAlign w:val="bottom"/>
            <w:hideMark/>
          </w:tcPr>
          <w:p w14:paraId="3B5B326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34AA461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23D818C5"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3B35BE0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6.1</w:t>
            </w:r>
          </w:p>
        </w:tc>
        <w:tc>
          <w:tcPr>
            <w:tcW w:w="0" w:type="auto"/>
            <w:tcBorders>
              <w:top w:val="nil"/>
              <w:left w:val="nil"/>
              <w:bottom w:val="single" w:sz="4" w:space="0" w:color="auto"/>
              <w:right w:val="single" w:sz="4" w:space="0" w:color="auto"/>
            </w:tcBorders>
            <w:vAlign w:val="bottom"/>
            <w:hideMark/>
          </w:tcPr>
          <w:p w14:paraId="17C7A67B"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una lista de las ordenes de trabajo ordenadas bajo criterios de priorización parametrizables conforme necesidad del dueño del proceso (ej. fechas de creación, procesos emisores, riesgos identificados, etc.).</w:t>
            </w:r>
          </w:p>
        </w:tc>
        <w:tc>
          <w:tcPr>
            <w:tcW w:w="0" w:type="auto"/>
            <w:tcBorders>
              <w:top w:val="nil"/>
              <w:left w:val="nil"/>
              <w:bottom w:val="single" w:sz="4" w:space="0" w:color="auto"/>
              <w:right w:val="single" w:sz="4" w:space="0" w:color="auto"/>
            </w:tcBorders>
            <w:vAlign w:val="bottom"/>
            <w:hideMark/>
          </w:tcPr>
          <w:p w14:paraId="614A6CF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F420C2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64C7AAD0" w14:textId="77777777" w:rsidTr="00BD3D91">
        <w:trPr>
          <w:trHeight w:val="255"/>
          <w:jc w:val="center"/>
        </w:trPr>
        <w:tc>
          <w:tcPr>
            <w:tcW w:w="0" w:type="auto"/>
            <w:tcBorders>
              <w:top w:val="nil"/>
              <w:left w:val="single" w:sz="4" w:space="0" w:color="auto"/>
              <w:bottom w:val="single" w:sz="4" w:space="0" w:color="auto"/>
              <w:right w:val="single" w:sz="4" w:space="0" w:color="auto"/>
            </w:tcBorders>
            <w:vAlign w:val="bottom"/>
            <w:hideMark/>
          </w:tcPr>
          <w:p w14:paraId="343AFBD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6.2</w:t>
            </w:r>
          </w:p>
        </w:tc>
        <w:tc>
          <w:tcPr>
            <w:tcW w:w="0" w:type="auto"/>
            <w:tcBorders>
              <w:top w:val="nil"/>
              <w:left w:val="nil"/>
              <w:bottom w:val="single" w:sz="4" w:space="0" w:color="auto"/>
              <w:right w:val="single" w:sz="4" w:space="0" w:color="auto"/>
            </w:tcBorders>
            <w:vAlign w:val="bottom"/>
            <w:hideMark/>
          </w:tcPr>
          <w:p w14:paraId="55DBF20B"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permitir asignar al responsable de análisis a través de sistema o flujo interno.</w:t>
            </w:r>
          </w:p>
        </w:tc>
        <w:tc>
          <w:tcPr>
            <w:tcW w:w="0" w:type="auto"/>
            <w:tcBorders>
              <w:top w:val="nil"/>
              <w:left w:val="nil"/>
              <w:bottom w:val="single" w:sz="4" w:space="0" w:color="auto"/>
              <w:right w:val="single" w:sz="4" w:space="0" w:color="auto"/>
            </w:tcBorders>
            <w:vAlign w:val="bottom"/>
            <w:hideMark/>
          </w:tcPr>
          <w:p w14:paraId="71E17DC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72A2A60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7016ADF"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5AF0D2C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6.3</w:t>
            </w:r>
          </w:p>
        </w:tc>
        <w:tc>
          <w:tcPr>
            <w:tcW w:w="0" w:type="auto"/>
            <w:tcBorders>
              <w:top w:val="nil"/>
              <w:left w:val="nil"/>
              <w:bottom w:val="single" w:sz="4" w:space="0" w:color="auto"/>
              <w:right w:val="single" w:sz="4" w:space="0" w:color="auto"/>
            </w:tcBorders>
            <w:vAlign w:val="bottom"/>
            <w:hideMark/>
          </w:tcPr>
          <w:p w14:paraId="63D3786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presentar al usuario los insumos recibidos de los módulos de PRIORIZACIÓN y PROGRAMACIÓN, y de otros sistemas, y le deberá permitir registrar la información y análisis recopilado dentro de la orden de trabajo, manteniendo trazabilidad.</w:t>
            </w:r>
          </w:p>
        </w:tc>
        <w:tc>
          <w:tcPr>
            <w:tcW w:w="0" w:type="auto"/>
            <w:tcBorders>
              <w:top w:val="nil"/>
              <w:left w:val="nil"/>
              <w:bottom w:val="single" w:sz="4" w:space="0" w:color="auto"/>
              <w:right w:val="single" w:sz="4" w:space="0" w:color="auto"/>
            </w:tcBorders>
            <w:vAlign w:val="bottom"/>
            <w:hideMark/>
          </w:tcPr>
          <w:p w14:paraId="42C0072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5BDE376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6AE1A260"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0C6DED2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6.4</w:t>
            </w:r>
          </w:p>
        </w:tc>
        <w:tc>
          <w:tcPr>
            <w:tcW w:w="0" w:type="auto"/>
            <w:tcBorders>
              <w:top w:val="nil"/>
              <w:left w:val="nil"/>
              <w:bottom w:val="single" w:sz="4" w:space="0" w:color="auto"/>
              <w:right w:val="single" w:sz="4" w:space="0" w:color="auto"/>
            </w:tcBorders>
            <w:vAlign w:val="bottom"/>
            <w:hideMark/>
          </w:tcPr>
          <w:p w14:paraId="702F48E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consultar mediante capacidades de integración todos los resultados registrados por los ejecutores en los diferentes sistemas para su análisis y procesamiento por parte del responsable de evaluación.</w:t>
            </w:r>
          </w:p>
        </w:tc>
        <w:tc>
          <w:tcPr>
            <w:tcW w:w="0" w:type="auto"/>
            <w:tcBorders>
              <w:top w:val="nil"/>
              <w:left w:val="nil"/>
              <w:bottom w:val="single" w:sz="4" w:space="0" w:color="auto"/>
              <w:right w:val="single" w:sz="4" w:space="0" w:color="auto"/>
            </w:tcBorders>
            <w:vAlign w:val="bottom"/>
            <w:hideMark/>
          </w:tcPr>
          <w:p w14:paraId="610DBDE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673B596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2DB0A0E"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6D1F348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6.5</w:t>
            </w:r>
          </w:p>
        </w:tc>
        <w:tc>
          <w:tcPr>
            <w:tcW w:w="0" w:type="auto"/>
            <w:tcBorders>
              <w:top w:val="nil"/>
              <w:left w:val="nil"/>
              <w:bottom w:val="single" w:sz="4" w:space="0" w:color="auto"/>
              <w:right w:val="single" w:sz="4" w:space="0" w:color="auto"/>
            </w:tcBorders>
            <w:vAlign w:val="bottom"/>
            <w:hideMark/>
          </w:tcPr>
          <w:p w14:paraId="612F48C1"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permitirá al usuario registrar los hallazgos, alcances, responsable, solicitud de plan de acción y otras tareas.</w:t>
            </w:r>
          </w:p>
        </w:tc>
        <w:tc>
          <w:tcPr>
            <w:tcW w:w="0" w:type="auto"/>
            <w:tcBorders>
              <w:top w:val="nil"/>
              <w:left w:val="nil"/>
              <w:bottom w:val="single" w:sz="4" w:space="0" w:color="auto"/>
              <w:right w:val="single" w:sz="4" w:space="0" w:color="auto"/>
            </w:tcBorders>
            <w:vAlign w:val="bottom"/>
            <w:hideMark/>
          </w:tcPr>
          <w:p w14:paraId="6E06FDF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1D4A9FA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10A8BF7"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381D8CC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6.6</w:t>
            </w:r>
          </w:p>
        </w:tc>
        <w:tc>
          <w:tcPr>
            <w:tcW w:w="0" w:type="auto"/>
            <w:tcBorders>
              <w:top w:val="nil"/>
              <w:left w:val="nil"/>
              <w:bottom w:val="single" w:sz="4" w:space="0" w:color="auto"/>
              <w:right w:val="single" w:sz="4" w:space="0" w:color="auto"/>
            </w:tcBorders>
            <w:vAlign w:val="bottom"/>
            <w:hideMark/>
          </w:tcPr>
          <w:p w14:paraId="60ADC7DD"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contar con módulos o flujos de revisión y aprobación y se genere los </w:t>
            </w:r>
            <w:proofErr w:type="spellStart"/>
            <w:r w:rsidRPr="00160081">
              <w:rPr>
                <w:rFonts w:cstheme="minorHAnsi"/>
                <w:color w:val="000000"/>
                <w:sz w:val="20"/>
                <w:szCs w:val="20"/>
              </w:rPr>
              <w:t>versionamientos</w:t>
            </w:r>
            <w:proofErr w:type="spellEnd"/>
            <w:r w:rsidRPr="00160081">
              <w:rPr>
                <w:rFonts w:cstheme="minorHAnsi"/>
                <w:color w:val="000000"/>
                <w:sz w:val="20"/>
                <w:szCs w:val="20"/>
              </w:rPr>
              <w:t xml:space="preserve"> respectivos por la actualización realizada.</w:t>
            </w:r>
          </w:p>
        </w:tc>
        <w:tc>
          <w:tcPr>
            <w:tcW w:w="0" w:type="auto"/>
            <w:tcBorders>
              <w:top w:val="nil"/>
              <w:left w:val="nil"/>
              <w:bottom w:val="single" w:sz="4" w:space="0" w:color="auto"/>
              <w:right w:val="single" w:sz="4" w:space="0" w:color="auto"/>
            </w:tcBorders>
            <w:vAlign w:val="bottom"/>
            <w:hideMark/>
          </w:tcPr>
          <w:p w14:paraId="05D95DE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EF3262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4A977A52"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1CA863C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6.7</w:t>
            </w:r>
          </w:p>
        </w:tc>
        <w:tc>
          <w:tcPr>
            <w:tcW w:w="0" w:type="auto"/>
            <w:tcBorders>
              <w:top w:val="nil"/>
              <w:left w:val="nil"/>
              <w:bottom w:val="single" w:sz="4" w:space="0" w:color="auto"/>
              <w:right w:val="single" w:sz="4" w:space="0" w:color="auto"/>
            </w:tcBorders>
            <w:vAlign w:val="bottom"/>
            <w:hideMark/>
          </w:tcPr>
          <w:p w14:paraId="0308124D"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a los usuarios responsables para continuar con las gestiones correspondientes.</w:t>
            </w:r>
          </w:p>
        </w:tc>
        <w:tc>
          <w:tcPr>
            <w:tcW w:w="0" w:type="auto"/>
            <w:tcBorders>
              <w:top w:val="nil"/>
              <w:left w:val="nil"/>
              <w:bottom w:val="single" w:sz="4" w:space="0" w:color="auto"/>
              <w:right w:val="single" w:sz="4" w:space="0" w:color="auto"/>
            </w:tcBorders>
            <w:vAlign w:val="bottom"/>
            <w:hideMark/>
          </w:tcPr>
          <w:p w14:paraId="67B2BB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4EBD2DE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21F2208"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303C6F7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6.8</w:t>
            </w:r>
          </w:p>
        </w:tc>
        <w:tc>
          <w:tcPr>
            <w:tcW w:w="0" w:type="auto"/>
            <w:tcBorders>
              <w:top w:val="nil"/>
              <w:left w:val="nil"/>
              <w:bottom w:val="single" w:sz="4" w:space="0" w:color="auto"/>
              <w:right w:val="single" w:sz="4" w:space="0" w:color="auto"/>
            </w:tcBorders>
            <w:vAlign w:val="bottom"/>
            <w:hideMark/>
          </w:tcPr>
          <w:p w14:paraId="198DBDC4"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los resultados generados al módulo, aplicativo o sistema responsable para su ejecución.</w:t>
            </w:r>
          </w:p>
        </w:tc>
        <w:tc>
          <w:tcPr>
            <w:tcW w:w="0" w:type="auto"/>
            <w:tcBorders>
              <w:top w:val="nil"/>
              <w:left w:val="nil"/>
              <w:bottom w:val="single" w:sz="4" w:space="0" w:color="auto"/>
              <w:right w:val="single" w:sz="4" w:space="0" w:color="auto"/>
            </w:tcBorders>
            <w:vAlign w:val="bottom"/>
            <w:hideMark/>
          </w:tcPr>
          <w:p w14:paraId="6DB5DA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74829F1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5C2C3A7C"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F69688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6.9</w:t>
            </w:r>
          </w:p>
        </w:tc>
        <w:tc>
          <w:tcPr>
            <w:tcW w:w="0" w:type="auto"/>
            <w:tcBorders>
              <w:top w:val="nil"/>
              <w:left w:val="nil"/>
              <w:bottom w:val="single" w:sz="4" w:space="0" w:color="auto"/>
              <w:right w:val="single" w:sz="4" w:space="0" w:color="auto"/>
            </w:tcBorders>
            <w:vAlign w:val="bottom"/>
            <w:hideMark/>
          </w:tcPr>
          <w:p w14:paraId="59DC7BF4"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informar a los usuarios responsables para continuar con las gestiones correspondientes.</w:t>
            </w:r>
          </w:p>
        </w:tc>
        <w:tc>
          <w:tcPr>
            <w:tcW w:w="0" w:type="auto"/>
            <w:tcBorders>
              <w:top w:val="nil"/>
              <w:left w:val="nil"/>
              <w:bottom w:val="single" w:sz="4" w:space="0" w:color="auto"/>
              <w:right w:val="single" w:sz="4" w:space="0" w:color="auto"/>
            </w:tcBorders>
            <w:vAlign w:val="bottom"/>
            <w:hideMark/>
          </w:tcPr>
          <w:p w14:paraId="7A8C293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6E15FA3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2D4ACA97"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27CC9DA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6.10</w:t>
            </w:r>
          </w:p>
        </w:tc>
        <w:tc>
          <w:tcPr>
            <w:tcW w:w="0" w:type="auto"/>
            <w:tcBorders>
              <w:top w:val="nil"/>
              <w:left w:val="nil"/>
              <w:bottom w:val="single" w:sz="4" w:space="0" w:color="auto"/>
              <w:right w:val="single" w:sz="4" w:space="0" w:color="auto"/>
            </w:tcBorders>
            <w:vAlign w:val="bottom"/>
            <w:hideMark/>
          </w:tcPr>
          <w:p w14:paraId="6FC92479"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generar el informe final de resultados para el cierre de la orden de trabajo que permita cambios a través de la edición del documento.</w:t>
            </w:r>
          </w:p>
        </w:tc>
        <w:tc>
          <w:tcPr>
            <w:tcW w:w="0" w:type="auto"/>
            <w:tcBorders>
              <w:top w:val="nil"/>
              <w:left w:val="nil"/>
              <w:bottom w:val="single" w:sz="4" w:space="0" w:color="auto"/>
              <w:right w:val="single" w:sz="4" w:space="0" w:color="auto"/>
            </w:tcBorders>
            <w:vAlign w:val="bottom"/>
            <w:hideMark/>
          </w:tcPr>
          <w:p w14:paraId="12892C1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336E65F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0D48823B"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294AC11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6.11</w:t>
            </w:r>
          </w:p>
        </w:tc>
        <w:tc>
          <w:tcPr>
            <w:tcW w:w="0" w:type="auto"/>
            <w:tcBorders>
              <w:top w:val="nil"/>
              <w:left w:val="nil"/>
              <w:bottom w:val="single" w:sz="4" w:space="0" w:color="auto"/>
              <w:right w:val="single" w:sz="4" w:space="0" w:color="auto"/>
            </w:tcBorders>
            <w:vAlign w:val="bottom"/>
            <w:hideMark/>
          </w:tcPr>
          <w:p w14:paraId="33DF99EE"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generar y entregar al sistema interno toda la documentación generada dentro de la orden de trabajo, para conformar el expediente </w:t>
            </w:r>
            <w:proofErr w:type="gramStart"/>
            <w:r w:rsidRPr="00160081">
              <w:rPr>
                <w:rFonts w:cstheme="minorHAnsi"/>
                <w:color w:val="000000"/>
                <w:sz w:val="20"/>
                <w:szCs w:val="20"/>
              </w:rPr>
              <w:t>de acuerdo a</w:t>
            </w:r>
            <w:proofErr w:type="gramEnd"/>
            <w:r w:rsidRPr="00160081">
              <w:rPr>
                <w:rFonts w:cstheme="minorHAnsi"/>
                <w:color w:val="000000"/>
                <w:sz w:val="20"/>
                <w:szCs w:val="20"/>
              </w:rPr>
              <w:t xml:space="preserve"> la estructura del grupo documental.</w:t>
            </w:r>
          </w:p>
        </w:tc>
        <w:tc>
          <w:tcPr>
            <w:tcW w:w="0" w:type="auto"/>
            <w:tcBorders>
              <w:top w:val="nil"/>
              <w:left w:val="nil"/>
              <w:bottom w:val="single" w:sz="4" w:space="0" w:color="auto"/>
              <w:right w:val="single" w:sz="4" w:space="0" w:color="auto"/>
            </w:tcBorders>
            <w:vAlign w:val="bottom"/>
            <w:hideMark/>
          </w:tcPr>
          <w:p w14:paraId="242106D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c>
          <w:tcPr>
            <w:tcW w:w="0" w:type="auto"/>
            <w:tcBorders>
              <w:top w:val="nil"/>
              <w:left w:val="nil"/>
              <w:bottom w:val="single" w:sz="4" w:space="0" w:color="auto"/>
              <w:right w:val="single" w:sz="4" w:space="0" w:color="auto"/>
            </w:tcBorders>
            <w:vAlign w:val="bottom"/>
            <w:hideMark/>
          </w:tcPr>
          <w:p w14:paraId="2211507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61E5D8A3" w14:textId="77777777" w:rsidTr="00BD3D91">
        <w:trPr>
          <w:trHeight w:val="255"/>
          <w:jc w:val="center"/>
        </w:trPr>
        <w:tc>
          <w:tcPr>
            <w:tcW w:w="0" w:type="auto"/>
            <w:tcBorders>
              <w:top w:val="nil"/>
              <w:left w:val="single" w:sz="4" w:space="0" w:color="auto"/>
              <w:bottom w:val="single" w:sz="4" w:space="0" w:color="auto"/>
              <w:right w:val="single" w:sz="4" w:space="0" w:color="auto"/>
            </w:tcBorders>
            <w:shd w:val="clear" w:color="DAE9F8" w:fill="DAE9F8"/>
            <w:vAlign w:val="bottom"/>
            <w:hideMark/>
          </w:tcPr>
          <w:p w14:paraId="31B8D03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7</w:t>
            </w:r>
          </w:p>
        </w:tc>
        <w:tc>
          <w:tcPr>
            <w:tcW w:w="0" w:type="auto"/>
            <w:tcBorders>
              <w:top w:val="nil"/>
              <w:left w:val="nil"/>
              <w:bottom w:val="single" w:sz="4" w:space="0" w:color="auto"/>
              <w:right w:val="single" w:sz="4" w:space="0" w:color="auto"/>
            </w:tcBorders>
            <w:shd w:val="clear" w:color="DAE9F8" w:fill="DAE9F8"/>
            <w:vAlign w:val="bottom"/>
            <w:hideMark/>
          </w:tcPr>
          <w:p w14:paraId="1A18FCCA" w14:textId="77777777" w:rsidR="00160081" w:rsidRPr="00160081" w:rsidRDefault="00160081" w:rsidP="00EF5E37">
            <w:pPr>
              <w:jc w:val="both"/>
              <w:rPr>
                <w:rFonts w:cstheme="minorHAnsi"/>
                <w:b/>
                <w:bCs/>
                <w:color w:val="000000"/>
                <w:sz w:val="20"/>
                <w:szCs w:val="20"/>
              </w:rPr>
            </w:pPr>
            <w:r w:rsidRPr="00160081">
              <w:rPr>
                <w:rFonts w:cstheme="minorHAnsi"/>
                <w:b/>
                <w:bCs/>
                <w:color w:val="000000"/>
                <w:sz w:val="20"/>
                <w:szCs w:val="20"/>
              </w:rPr>
              <w:t>VISUALIZACIÓN Y MODELADO</w:t>
            </w:r>
          </w:p>
        </w:tc>
        <w:tc>
          <w:tcPr>
            <w:tcW w:w="0" w:type="auto"/>
            <w:tcBorders>
              <w:top w:val="nil"/>
              <w:left w:val="nil"/>
              <w:bottom w:val="single" w:sz="4" w:space="0" w:color="auto"/>
              <w:right w:val="single" w:sz="4" w:space="0" w:color="auto"/>
            </w:tcBorders>
            <w:shd w:val="clear" w:color="DAE9F8" w:fill="DAE9F8"/>
            <w:vAlign w:val="bottom"/>
            <w:hideMark/>
          </w:tcPr>
          <w:p w14:paraId="4BA6A24E"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NECESARIA</w:t>
            </w:r>
          </w:p>
        </w:tc>
        <w:tc>
          <w:tcPr>
            <w:tcW w:w="0" w:type="auto"/>
            <w:tcBorders>
              <w:top w:val="nil"/>
              <w:left w:val="nil"/>
              <w:bottom w:val="single" w:sz="4" w:space="0" w:color="auto"/>
              <w:right w:val="single" w:sz="4" w:space="0" w:color="auto"/>
            </w:tcBorders>
            <w:shd w:val="clear" w:color="DAE9F8" w:fill="DAE9F8"/>
            <w:vAlign w:val="bottom"/>
            <w:hideMark/>
          </w:tcPr>
          <w:p w14:paraId="52AD6AC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IMPORTANTE</w:t>
            </w:r>
          </w:p>
        </w:tc>
      </w:tr>
      <w:tr w:rsidR="00160081" w:rsidRPr="00160081" w14:paraId="56A96E62"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49B4D395"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7.1</w:t>
            </w:r>
          </w:p>
        </w:tc>
        <w:tc>
          <w:tcPr>
            <w:tcW w:w="0" w:type="auto"/>
            <w:tcBorders>
              <w:top w:val="nil"/>
              <w:left w:val="nil"/>
              <w:bottom w:val="single" w:sz="4" w:space="0" w:color="auto"/>
              <w:right w:val="single" w:sz="4" w:space="0" w:color="auto"/>
            </w:tcBorders>
            <w:vAlign w:val="bottom"/>
            <w:hideMark/>
          </w:tcPr>
          <w:p w14:paraId="3925EA53"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incluir módulos de </w:t>
            </w:r>
            <w:proofErr w:type="gramStart"/>
            <w:r w:rsidRPr="00160081">
              <w:rPr>
                <w:rFonts w:cstheme="minorHAnsi"/>
                <w:color w:val="000000"/>
                <w:sz w:val="20"/>
                <w:szCs w:val="20"/>
              </w:rPr>
              <w:t xml:space="preserve">Business </w:t>
            </w:r>
            <w:proofErr w:type="spellStart"/>
            <w:r w:rsidRPr="00160081">
              <w:rPr>
                <w:rFonts w:cstheme="minorHAnsi"/>
                <w:color w:val="000000"/>
                <w:sz w:val="20"/>
                <w:szCs w:val="20"/>
              </w:rPr>
              <w:t>Intelligence</w:t>
            </w:r>
            <w:proofErr w:type="spellEnd"/>
            <w:proofErr w:type="gramEnd"/>
            <w:r w:rsidRPr="00160081">
              <w:rPr>
                <w:rFonts w:cstheme="minorHAnsi"/>
                <w:color w:val="000000"/>
                <w:sz w:val="20"/>
                <w:szCs w:val="20"/>
              </w:rPr>
              <w:t xml:space="preserve"> con </w:t>
            </w:r>
            <w:proofErr w:type="spellStart"/>
            <w:r w:rsidRPr="00160081">
              <w:rPr>
                <w:rFonts w:cstheme="minorHAnsi"/>
                <w:color w:val="000000"/>
                <w:sz w:val="20"/>
                <w:szCs w:val="20"/>
              </w:rPr>
              <w:t>dashboards</w:t>
            </w:r>
            <w:proofErr w:type="spellEnd"/>
            <w:r w:rsidRPr="00160081">
              <w:rPr>
                <w:rFonts w:cstheme="minorHAnsi"/>
                <w:color w:val="000000"/>
                <w:sz w:val="20"/>
                <w:szCs w:val="20"/>
              </w:rPr>
              <w:t xml:space="preserve"> y reportes configurables e interactivos para monitoreo de riesgos, brechas de cumplimiento y resultados de tratamientos.</w:t>
            </w:r>
          </w:p>
        </w:tc>
        <w:tc>
          <w:tcPr>
            <w:tcW w:w="0" w:type="auto"/>
            <w:tcBorders>
              <w:top w:val="nil"/>
              <w:left w:val="nil"/>
              <w:bottom w:val="single" w:sz="4" w:space="0" w:color="auto"/>
              <w:right w:val="single" w:sz="4" w:space="0" w:color="auto"/>
            </w:tcBorders>
            <w:vAlign w:val="bottom"/>
            <w:hideMark/>
          </w:tcPr>
          <w:p w14:paraId="7E9B3AE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242FBE6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0CF74E97" w14:textId="77777777" w:rsidTr="00BD3D91">
        <w:trPr>
          <w:trHeight w:val="765"/>
          <w:jc w:val="center"/>
        </w:trPr>
        <w:tc>
          <w:tcPr>
            <w:tcW w:w="0" w:type="auto"/>
            <w:tcBorders>
              <w:top w:val="nil"/>
              <w:left w:val="single" w:sz="4" w:space="0" w:color="auto"/>
              <w:bottom w:val="single" w:sz="4" w:space="0" w:color="auto"/>
              <w:right w:val="single" w:sz="4" w:space="0" w:color="auto"/>
            </w:tcBorders>
            <w:vAlign w:val="bottom"/>
            <w:hideMark/>
          </w:tcPr>
          <w:p w14:paraId="3CFC791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7.2</w:t>
            </w:r>
          </w:p>
        </w:tc>
        <w:tc>
          <w:tcPr>
            <w:tcW w:w="0" w:type="auto"/>
            <w:tcBorders>
              <w:top w:val="nil"/>
              <w:left w:val="nil"/>
              <w:bottom w:val="single" w:sz="4" w:space="0" w:color="auto"/>
              <w:right w:val="single" w:sz="4" w:space="0" w:color="auto"/>
            </w:tcBorders>
            <w:vAlign w:val="bottom"/>
            <w:hideMark/>
          </w:tcPr>
          <w:p w14:paraId="3CBD8EB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El sistema deberá soportar la ingesta, normalización y cruce de grandes volúmenes de datos provenientes de fuentes internas y externas, asegurando consistencia, trazabilidad y desempeño bajo cargas elevadas.</w:t>
            </w:r>
          </w:p>
        </w:tc>
        <w:tc>
          <w:tcPr>
            <w:tcW w:w="0" w:type="auto"/>
            <w:tcBorders>
              <w:top w:val="nil"/>
              <w:left w:val="nil"/>
              <w:bottom w:val="single" w:sz="4" w:space="0" w:color="auto"/>
              <w:right w:val="single" w:sz="4" w:space="0" w:color="auto"/>
            </w:tcBorders>
            <w:vAlign w:val="bottom"/>
            <w:hideMark/>
          </w:tcPr>
          <w:p w14:paraId="4F18E0E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08785F9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r w:rsidR="00160081" w:rsidRPr="00160081" w14:paraId="30B3C271" w14:textId="77777777" w:rsidTr="00BD3D91">
        <w:trPr>
          <w:trHeight w:val="510"/>
          <w:jc w:val="center"/>
        </w:trPr>
        <w:tc>
          <w:tcPr>
            <w:tcW w:w="0" w:type="auto"/>
            <w:tcBorders>
              <w:top w:val="nil"/>
              <w:left w:val="single" w:sz="4" w:space="0" w:color="auto"/>
              <w:bottom w:val="single" w:sz="4" w:space="0" w:color="auto"/>
              <w:right w:val="single" w:sz="4" w:space="0" w:color="auto"/>
            </w:tcBorders>
            <w:vAlign w:val="bottom"/>
            <w:hideMark/>
          </w:tcPr>
          <w:p w14:paraId="068EB59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7.3</w:t>
            </w:r>
          </w:p>
        </w:tc>
        <w:tc>
          <w:tcPr>
            <w:tcW w:w="0" w:type="auto"/>
            <w:tcBorders>
              <w:top w:val="nil"/>
              <w:left w:val="nil"/>
              <w:bottom w:val="single" w:sz="4" w:space="0" w:color="auto"/>
              <w:right w:val="single" w:sz="4" w:space="0" w:color="auto"/>
            </w:tcBorders>
            <w:vAlign w:val="bottom"/>
            <w:hideMark/>
          </w:tcPr>
          <w:p w14:paraId="2BD87D27" w14:textId="77777777" w:rsidR="00160081" w:rsidRPr="00160081" w:rsidRDefault="00160081" w:rsidP="00EF5E37">
            <w:pPr>
              <w:jc w:val="both"/>
              <w:rPr>
                <w:rFonts w:cstheme="minorHAnsi"/>
                <w:color w:val="000000"/>
                <w:sz w:val="20"/>
                <w:szCs w:val="20"/>
              </w:rPr>
            </w:pPr>
            <w:r w:rsidRPr="00160081">
              <w:rPr>
                <w:rFonts w:cstheme="minorHAnsi"/>
                <w:color w:val="000000"/>
                <w:sz w:val="20"/>
                <w:szCs w:val="20"/>
              </w:rPr>
              <w:t xml:space="preserve">El sistema deberá permitir modelar y ajustar mallas de validación, reglas y algoritmos de riesgo mediante herramientas </w:t>
            </w:r>
            <w:proofErr w:type="spellStart"/>
            <w:r w:rsidRPr="00160081">
              <w:rPr>
                <w:rFonts w:cstheme="minorHAnsi"/>
                <w:color w:val="000000"/>
                <w:sz w:val="20"/>
                <w:szCs w:val="20"/>
              </w:rPr>
              <w:t>low-code</w:t>
            </w:r>
            <w:proofErr w:type="spellEnd"/>
            <w:r w:rsidRPr="00160081">
              <w:rPr>
                <w:rFonts w:cstheme="minorHAnsi"/>
                <w:color w:val="000000"/>
                <w:sz w:val="20"/>
                <w:szCs w:val="20"/>
              </w:rPr>
              <w:t>/no-</w:t>
            </w:r>
            <w:proofErr w:type="spellStart"/>
            <w:r w:rsidRPr="00160081">
              <w:rPr>
                <w:rFonts w:cstheme="minorHAnsi"/>
                <w:color w:val="000000"/>
                <w:sz w:val="20"/>
                <w:szCs w:val="20"/>
              </w:rPr>
              <w:t>code</w:t>
            </w:r>
            <w:proofErr w:type="spellEnd"/>
            <w:r w:rsidRPr="00160081">
              <w:rPr>
                <w:rFonts w:cstheme="minorHAnsi"/>
                <w:color w:val="000000"/>
                <w:sz w:val="20"/>
                <w:szCs w:val="20"/>
              </w:rPr>
              <w:t>, orientadas a analistas fiscales.</w:t>
            </w:r>
          </w:p>
        </w:tc>
        <w:tc>
          <w:tcPr>
            <w:tcW w:w="0" w:type="auto"/>
            <w:tcBorders>
              <w:top w:val="nil"/>
              <w:left w:val="nil"/>
              <w:bottom w:val="single" w:sz="4" w:space="0" w:color="auto"/>
              <w:right w:val="single" w:sz="4" w:space="0" w:color="auto"/>
            </w:tcBorders>
            <w:vAlign w:val="bottom"/>
            <w:hideMark/>
          </w:tcPr>
          <w:p w14:paraId="2B46163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0" w:type="auto"/>
            <w:tcBorders>
              <w:top w:val="nil"/>
              <w:left w:val="nil"/>
              <w:bottom w:val="single" w:sz="4" w:space="0" w:color="auto"/>
              <w:right w:val="single" w:sz="4" w:space="0" w:color="auto"/>
            </w:tcBorders>
            <w:vAlign w:val="bottom"/>
            <w:hideMark/>
          </w:tcPr>
          <w:p w14:paraId="3ACEF5A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w:t>
            </w:r>
          </w:p>
        </w:tc>
      </w:tr>
    </w:tbl>
    <w:p w14:paraId="7B3745A9" w14:textId="77777777" w:rsidR="00160081" w:rsidRDefault="00160081" w:rsidP="00160081">
      <w:pPr>
        <w:ind w:left="720"/>
        <w:rPr>
          <w:rFonts w:cstheme="minorHAnsi"/>
          <w:sz w:val="20"/>
          <w:szCs w:val="20"/>
        </w:rPr>
      </w:pPr>
    </w:p>
    <w:p w14:paraId="0AFC87E9" w14:textId="77777777" w:rsidR="00EF5E37" w:rsidRPr="00160081" w:rsidRDefault="00EF5E37" w:rsidP="00160081">
      <w:pPr>
        <w:ind w:left="720"/>
        <w:rPr>
          <w:rFonts w:cstheme="minorHAnsi"/>
          <w:sz w:val="20"/>
          <w:szCs w:val="20"/>
        </w:rPr>
      </w:pPr>
    </w:p>
    <w:p w14:paraId="127851B8" w14:textId="77777777" w:rsidR="00160081" w:rsidRPr="00160081" w:rsidRDefault="00160081" w:rsidP="00160081">
      <w:pPr>
        <w:ind w:left="720"/>
        <w:rPr>
          <w:rFonts w:cstheme="minorHAnsi"/>
          <w:b/>
          <w:bCs/>
          <w:sz w:val="20"/>
          <w:szCs w:val="20"/>
        </w:rPr>
      </w:pPr>
      <w:r w:rsidRPr="00160081">
        <w:rPr>
          <w:rFonts w:cstheme="minorHAnsi"/>
          <w:b/>
          <w:bCs/>
          <w:color w:val="000000" w:themeColor="text1"/>
          <w:sz w:val="20"/>
          <w:szCs w:val="20"/>
        </w:rPr>
        <w:t xml:space="preserve">6.4.2.3.2 </w:t>
      </w:r>
      <w:r w:rsidRPr="00160081">
        <w:rPr>
          <w:rFonts w:cstheme="minorHAnsi"/>
          <w:b/>
          <w:bCs/>
          <w:sz w:val="20"/>
          <w:szCs w:val="20"/>
        </w:rPr>
        <w:t>Requerimientos no funcionales</w:t>
      </w:r>
    </w:p>
    <w:p w14:paraId="2CE3B3EC" w14:textId="77777777" w:rsidR="00160081" w:rsidRPr="00160081" w:rsidRDefault="00160081" w:rsidP="00160081">
      <w:pPr>
        <w:pStyle w:val="Prrafodelista"/>
        <w:suppressAutoHyphens/>
        <w:rPr>
          <w:rFonts w:cstheme="minorHAns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7"/>
        <w:gridCol w:w="4497"/>
        <w:gridCol w:w="1444"/>
      </w:tblGrid>
      <w:tr w:rsidR="00160081" w:rsidRPr="00160081" w14:paraId="1AC7472C" w14:textId="77777777" w:rsidTr="00EF5E37">
        <w:trPr>
          <w:trHeight w:val="20"/>
        </w:trPr>
        <w:tc>
          <w:tcPr>
            <w:tcW w:w="0" w:type="auto"/>
            <w:tcMar>
              <w:top w:w="180" w:type="dxa"/>
              <w:left w:w="0" w:type="dxa"/>
              <w:bottom w:w="180" w:type="dxa"/>
              <w:right w:w="240" w:type="dxa"/>
            </w:tcMar>
            <w:vAlign w:val="center"/>
          </w:tcPr>
          <w:p w14:paraId="367A216D" w14:textId="77777777" w:rsidR="00160081" w:rsidRPr="00160081" w:rsidRDefault="00160081" w:rsidP="00BD3D91">
            <w:pPr>
              <w:pStyle w:val="Prrafodelista"/>
              <w:suppressAutoHyphens/>
              <w:ind w:left="142" w:right="-182"/>
              <w:jc w:val="center"/>
              <w:rPr>
                <w:rFonts w:cstheme="minorHAnsi"/>
                <w:sz w:val="20"/>
                <w:szCs w:val="20"/>
              </w:rPr>
            </w:pPr>
            <w:r w:rsidRPr="00160081">
              <w:rPr>
                <w:rFonts w:cstheme="minorHAnsi"/>
                <w:b/>
                <w:bCs/>
                <w:sz w:val="20"/>
                <w:szCs w:val="20"/>
              </w:rPr>
              <w:t>CARACTERÍSTICA</w:t>
            </w:r>
          </w:p>
        </w:tc>
        <w:tc>
          <w:tcPr>
            <w:tcW w:w="0" w:type="auto"/>
            <w:tcMar>
              <w:top w:w="180" w:type="dxa"/>
              <w:left w:w="0" w:type="dxa"/>
              <w:bottom w:w="180" w:type="dxa"/>
              <w:right w:w="240" w:type="dxa"/>
            </w:tcMar>
            <w:vAlign w:val="center"/>
          </w:tcPr>
          <w:p w14:paraId="06613163" w14:textId="77777777" w:rsidR="00160081" w:rsidRPr="00160081" w:rsidRDefault="00160081" w:rsidP="00BD3D91">
            <w:pPr>
              <w:pStyle w:val="Prrafodelista"/>
              <w:suppressAutoHyphens/>
              <w:ind w:left="80"/>
              <w:jc w:val="center"/>
              <w:rPr>
                <w:rFonts w:cstheme="minorHAnsi"/>
                <w:sz w:val="20"/>
                <w:szCs w:val="20"/>
              </w:rPr>
            </w:pPr>
            <w:r w:rsidRPr="00160081">
              <w:rPr>
                <w:rFonts w:cstheme="minorHAnsi"/>
                <w:b/>
                <w:bCs/>
                <w:sz w:val="20"/>
                <w:szCs w:val="20"/>
              </w:rPr>
              <w:t>DETALLE</w:t>
            </w:r>
          </w:p>
        </w:tc>
        <w:tc>
          <w:tcPr>
            <w:tcW w:w="0" w:type="auto"/>
          </w:tcPr>
          <w:p w14:paraId="59B04DD3" w14:textId="77777777" w:rsidR="00160081" w:rsidRPr="00160081" w:rsidRDefault="00160081" w:rsidP="00BD3D91">
            <w:pPr>
              <w:suppressAutoHyphens/>
              <w:jc w:val="center"/>
              <w:rPr>
                <w:rFonts w:cstheme="minorHAnsi"/>
                <w:b/>
                <w:bCs/>
                <w:color w:val="000000"/>
                <w:sz w:val="20"/>
                <w:szCs w:val="20"/>
                <w:lang w:eastAsia="es-EC"/>
              </w:rPr>
            </w:pPr>
            <w:r w:rsidRPr="00160081">
              <w:rPr>
                <w:rFonts w:cstheme="minorHAnsi"/>
                <w:b/>
                <w:bCs/>
                <w:color w:val="000000"/>
                <w:sz w:val="20"/>
                <w:szCs w:val="20"/>
                <w:lang w:eastAsia="es-EC"/>
              </w:rPr>
              <w:t>REQUERIMIENTO</w:t>
            </w:r>
          </w:p>
          <w:p w14:paraId="5BA66D98" w14:textId="77777777" w:rsidR="00160081" w:rsidRPr="00160081" w:rsidRDefault="00160081" w:rsidP="00BD3D91">
            <w:pPr>
              <w:suppressAutoHyphens/>
              <w:jc w:val="center"/>
              <w:rPr>
                <w:rFonts w:cstheme="minorHAnsi"/>
                <w:color w:val="000000"/>
                <w:sz w:val="20"/>
                <w:szCs w:val="20"/>
                <w:lang w:eastAsia="es-EC"/>
              </w:rPr>
            </w:pPr>
            <w:r w:rsidRPr="00160081">
              <w:rPr>
                <w:rFonts w:cstheme="minorHAnsi"/>
                <w:b/>
                <w:bCs/>
                <w:color w:val="000000"/>
                <w:sz w:val="20"/>
                <w:szCs w:val="20"/>
                <w:lang w:eastAsia="es-EC"/>
              </w:rPr>
              <w:t>NECESARIA</w:t>
            </w:r>
          </w:p>
        </w:tc>
      </w:tr>
      <w:tr w:rsidR="00160081" w:rsidRPr="00160081" w14:paraId="5EA9F797" w14:textId="77777777" w:rsidTr="00EF5E37">
        <w:trPr>
          <w:trHeight w:val="20"/>
        </w:trPr>
        <w:tc>
          <w:tcPr>
            <w:tcW w:w="0" w:type="auto"/>
            <w:tcMar>
              <w:top w:w="180" w:type="dxa"/>
              <w:left w:w="0" w:type="dxa"/>
              <w:bottom w:w="180" w:type="dxa"/>
              <w:right w:w="240" w:type="dxa"/>
            </w:tcMar>
            <w:hideMark/>
          </w:tcPr>
          <w:p w14:paraId="6A022C7D" w14:textId="77777777" w:rsidR="00160081" w:rsidRPr="00160081" w:rsidRDefault="00160081" w:rsidP="00BD3D91">
            <w:pPr>
              <w:pStyle w:val="Prrafodelista"/>
              <w:suppressAutoHyphens/>
              <w:ind w:left="142" w:right="-182"/>
              <w:rPr>
                <w:rFonts w:cstheme="minorHAnsi"/>
                <w:sz w:val="20"/>
                <w:szCs w:val="20"/>
              </w:rPr>
            </w:pPr>
            <w:r w:rsidRPr="00160081">
              <w:rPr>
                <w:rFonts w:cstheme="minorHAnsi"/>
                <w:sz w:val="20"/>
                <w:szCs w:val="20"/>
              </w:rPr>
              <w:t>Modelado de Riesgos</w:t>
            </w:r>
          </w:p>
        </w:tc>
        <w:tc>
          <w:tcPr>
            <w:tcW w:w="0" w:type="auto"/>
            <w:tcMar>
              <w:top w:w="180" w:type="dxa"/>
              <w:left w:w="0" w:type="dxa"/>
              <w:bottom w:w="180" w:type="dxa"/>
              <w:right w:w="240" w:type="dxa"/>
            </w:tcMar>
            <w:hideMark/>
          </w:tcPr>
          <w:p w14:paraId="70719884" w14:textId="77777777" w:rsidR="00160081" w:rsidRPr="00160081" w:rsidRDefault="00160081" w:rsidP="00BD3D91">
            <w:pPr>
              <w:pStyle w:val="Prrafodelista"/>
              <w:suppressAutoHyphens/>
              <w:ind w:left="80"/>
              <w:rPr>
                <w:rFonts w:cstheme="minorHAnsi"/>
                <w:sz w:val="20"/>
                <w:szCs w:val="20"/>
              </w:rPr>
            </w:pPr>
            <w:r w:rsidRPr="00160081">
              <w:rPr>
                <w:rFonts w:cstheme="minorHAnsi"/>
                <w:sz w:val="20"/>
                <w:szCs w:val="20"/>
              </w:rPr>
              <w:t>Herramientas </w:t>
            </w:r>
            <w:proofErr w:type="spellStart"/>
            <w:r w:rsidRPr="00160081">
              <w:rPr>
                <w:rFonts w:cstheme="minorHAnsi"/>
                <w:i/>
                <w:iCs/>
                <w:sz w:val="20"/>
                <w:szCs w:val="20"/>
              </w:rPr>
              <w:t>low-code</w:t>
            </w:r>
            <w:proofErr w:type="spellEnd"/>
            <w:r w:rsidRPr="00160081">
              <w:rPr>
                <w:rFonts w:cstheme="minorHAnsi"/>
                <w:sz w:val="20"/>
                <w:szCs w:val="20"/>
              </w:rPr>
              <w:t> o </w:t>
            </w:r>
            <w:r w:rsidRPr="00160081">
              <w:rPr>
                <w:rFonts w:cstheme="minorHAnsi"/>
                <w:i/>
                <w:iCs/>
                <w:sz w:val="20"/>
                <w:szCs w:val="20"/>
              </w:rPr>
              <w:t>no-</w:t>
            </w:r>
            <w:proofErr w:type="spellStart"/>
            <w:r w:rsidRPr="00160081">
              <w:rPr>
                <w:rFonts w:cstheme="minorHAnsi"/>
                <w:i/>
                <w:iCs/>
                <w:sz w:val="20"/>
                <w:szCs w:val="20"/>
              </w:rPr>
              <w:t>code</w:t>
            </w:r>
            <w:proofErr w:type="spellEnd"/>
            <w:r w:rsidRPr="00160081">
              <w:rPr>
                <w:rFonts w:cstheme="minorHAnsi"/>
                <w:sz w:val="20"/>
                <w:szCs w:val="20"/>
              </w:rPr>
              <w:t> para que los analistas fiscales definan y ajusten mallas de validación y de riesgo.</w:t>
            </w:r>
          </w:p>
        </w:tc>
        <w:tc>
          <w:tcPr>
            <w:tcW w:w="0" w:type="auto"/>
          </w:tcPr>
          <w:p w14:paraId="50F4E960" w14:textId="77777777" w:rsidR="00160081" w:rsidRPr="00160081" w:rsidRDefault="00160081" w:rsidP="00BD3D91">
            <w:pPr>
              <w:suppressAutoHyphens/>
              <w:jc w:val="center"/>
              <w:rPr>
                <w:rFonts w:cstheme="minorHAnsi"/>
                <w:sz w:val="20"/>
                <w:szCs w:val="20"/>
              </w:rPr>
            </w:pPr>
            <w:r w:rsidRPr="00160081">
              <w:rPr>
                <w:rFonts w:cstheme="minorHAnsi"/>
                <w:color w:val="000000"/>
                <w:sz w:val="20"/>
                <w:szCs w:val="20"/>
                <w:lang w:eastAsia="es-EC"/>
              </w:rPr>
              <w:t>X</w:t>
            </w:r>
          </w:p>
        </w:tc>
      </w:tr>
      <w:tr w:rsidR="00160081" w:rsidRPr="00160081" w14:paraId="0CABDDDA" w14:textId="77777777" w:rsidTr="00EF5E37">
        <w:trPr>
          <w:trHeight w:val="20"/>
        </w:trPr>
        <w:tc>
          <w:tcPr>
            <w:tcW w:w="0" w:type="auto"/>
            <w:tcMar>
              <w:top w:w="180" w:type="dxa"/>
              <w:left w:w="0" w:type="dxa"/>
              <w:bottom w:w="180" w:type="dxa"/>
              <w:right w:w="240" w:type="dxa"/>
            </w:tcMar>
            <w:hideMark/>
          </w:tcPr>
          <w:p w14:paraId="398C5564" w14:textId="77777777" w:rsidR="00160081" w:rsidRPr="00160081" w:rsidRDefault="00160081" w:rsidP="00BD3D91">
            <w:pPr>
              <w:pStyle w:val="Prrafodelista"/>
              <w:suppressAutoHyphens/>
              <w:ind w:left="142" w:right="-182"/>
              <w:rPr>
                <w:rFonts w:cstheme="minorHAnsi"/>
                <w:sz w:val="20"/>
                <w:szCs w:val="20"/>
              </w:rPr>
            </w:pPr>
            <w:r w:rsidRPr="00160081">
              <w:rPr>
                <w:rFonts w:cstheme="minorHAnsi"/>
                <w:sz w:val="20"/>
                <w:szCs w:val="20"/>
              </w:rPr>
              <w:t>Integración de Datos</w:t>
            </w:r>
          </w:p>
        </w:tc>
        <w:tc>
          <w:tcPr>
            <w:tcW w:w="0" w:type="auto"/>
            <w:tcMar>
              <w:top w:w="180" w:type="dxa"/>
              <w:left w:w="0" w:type="dxa"/>
              <w:bottom w:w="180" w:type="dxa"/>
              <w:right w:w="240" w:type="dxa"/>
            </w:tcMar>
            <w:hideMark/>
          </w:tcPr>
          <w:p w14:paraId="57B4A8A1" w14:textId="77777777" w:rsidR="00160081" w:rsidRPr="00160081" w:rsidRDefault="00160081" w:rsidP="00BD3D91">
            <w:pPr>
              <w:pStyle w:val="Prrafodelista"/>
              <w:suppressAutoHyphens/>
              <w:ind w:left="80"/>
              <w:rPr>
                <w:rFonts w:cstheme="minorHAnsi"/>
                <w:sz w:val="20"/>
                <w:szCs w:val="20"/>
              </w:rPr>
            </w:pPr>
            <w:r w:rsidRPr="00160081">
              <w:rPr>
                <w:rFonts w:cstheme="minorHAnsi"/>
                <w:sz w:val="20"/>
                <w:szCs w:val="20"/>
              </w:rPr>
              <w:t>Capacidad de ingerir, normalizar y cruzar grandes volúmenes de datos de diversas fuentes internas y externas.</w:t>
            </w:r>
          </w:p>
        </w:tc>
        <w:tc>
          <w:tcPr>
            <w:tcW w:w="0" w:type="auto"/>
          </w:tcPr>
          <w:p w14:paraId="48B61762" w14:textId="77777777" w:rsidR="00160081" w:rsidRPr="00160081" w:rsidRDefault="00160081" w:rsidP="00BD3D91">
            <w:pPr>
              <w:suppressAutoHyphens/>
              <w:jc w:val="center"/>
              <w:rPr>
                <w:rFonts w:cstheme="minorHAnsi"/>
                <w:sz w:val="20"/>
                <w:szCs w:val="20"/>
              </w:rPr>
            </w:pPr>
            <w:r w:rsidRPr="00160081">
              <w:rPr>
                <w:rFonts w:cstheme="minorHAnsi"/>
                <w:color w:val="000000"/>
                <w:sz w:val="20"/>
                <w:szCs w:val="20"/>
                <w:lang w:eastAsia="es-EC"/>
              </w:rPr>
              <w:t>X</w:t>
            </w:r>
          </w:p>
        </w:tc>
      </w:tr>
      <w:tr w:rsidR="00160081" w:rsidRPr="00160081" w14:paraId="38E93D7B" w14:textId="77777777" w:rsidTr="00EF5E37">
        <w:trPr>
          <w:trHeight w:val="20"/>
        </w:trPr>
        <w:tc>
          <w:tcPr>
            <w:tcW w:w="0" w:type="auto"/>
            <w:tcMar>
              <w:top w:w="180" w:type="dxa"/>
              <w:left w:w="0" w:type="dxa"/>
              <w:bottom w:w="180" w:type="dxa"/>
              <w:right w:w="240" w:type="dxa"/>
            </w:tcMar>
            <w:hideMark/>
          </w:tcPr>
          <w:p w14:paraId="386AA01B" w14:textId="77777777" w:rsidR="00160081" w:rsidRPr="00160081" w:rsidRDefault="00160081" w:rsidP="00BD3D91">
            <w:pPr>
              <w:pStyle w:val="Prrafodelista"/>
              <w:suppressAutoHyphens/>
              <w:ind w:left="142" w:right="-182"/>
              <w:rPr>
                <w:rFonts w:cstheme="minorHAnsi"/>
                <w:sz w:val="20"/>
                <w:szCs w:val="20"/>
              </w:rPr>
            </w:pPr>
            <w:proofErr w:type="gramStart"/>
            <w:r w:rsidRPr="00160081">
              <w:rPr>
                <w:rFonts w:cstheme="minorHAnsi"/>
                <w:sz w:val="20"/>
                <w:szCs w:val="20"/>
              </w:rPr>
              <w:t xml:space="preserve">Business </w:t>
            </w:r>
            <w:proofErr w:type="spellStart"/>
            <w:r w:rsidRPr="00160081">
              <w:rPr>
                <w:rFonts w:cstheme="minorHAnsi"/>
                <w:sz w:val="20"/>
                <w:szCs w:val="20"/>
              </w:rPr>
              <w:t>Intelligence</w:t>
            </w:r>
            <w:proofErr w:type="spellEnd"/>
            <w:proofErr w:type="gramEnd"/>
            <w:r w:rsidRPr="00160081">
              <w:rPr>
                <w:rFonts w:cstheme="minorHAnsi"/>
                <w:sz w:val="20"/>
                <w:szCs w:val="20"/>
              </w:rPr>
              <w:t xml:space="preserve"> (BI)</w:t>
            </w:r>
          </w:p>
        </w:tc>
        <w:tc>
          <w:tcPr>
            <w:tcW w:w="0" w:type="auto"/>
            <w:tcMar>
              <w:top w:w="180" w:type="dxa"/>
              <w:left w:w="0" w:type="dxa"/>
              <w:bottom w:w="180" w:type="dxa"/>
              <w:right w:w="240" w:type="dxa"/>
            </w:tcMar>
            <w:hideMark/>
          </w:tcPr>
          <w:p w14:paraId="6D8CF037" w14:textId="77777777" w:rsidR="00160081" w:rsidRPr="00160081" w:rsidRDefault="00160081" w:rsidP="00BD3D91">
            <w:pPr>
              <w:pStyle w:val="Prrafodelista"/>
              <w:suppressAutoHyphens/>
              <w:ind w:left="80"/>
              <w:rPr>
                <w:rFonts w:cstheme="minorHAnsi"/>
                <w:sz w:val="20"/>
                <w:szCs w:val="20"/>
              </w:rPr>
            </w:pPr>
            <w:r w:rsidRPr="00160081">
              <w:rPr>
                <w:rFonts w:cstheme="minorHAnsi"/>
                <w:sz w:val="20"/>
                <w:szCs w:val="20"/>
              </w:rPr>
              <w:t>Módulos de visualización y reporteo para monitorear indicadores de cumplimiento, brechas y efectividad de tratamientos.</w:t>
            </w:r>
          </w:p>
        </w:tc>
        <w:tc>
          <w:tcPr>
            <w:tcW w:w="0" w:type="auto"/>
          </w:tcPr>
          <w:p w14:paraId="52E867F7" w14:textId="77777777" w:rsidR="00160081" w:rsidRPr="00160081" w:rsidRDefault="00160081" w:rsidP="00BD3D91">
            <w:pPr>
              <w:suppressAutoHyphens/>
              <w:jc w:val="center"/>
              <w:rPr>
                <w:rFonts w:cstheme="minorHAnsi"/>
                <w:sz w:val="20"/>
                <w:szCs w:val="20"/>
              </w:rPr>
            </w:pPr>
            <w:r w:rsidRPr="00160081">
              <w:rPr>
                <w:rFonts w:cstheme="minorHAnsi"/>
                <w:color w:val="000000"/>
                <w:sz w:val="20"/>
                <w:szCs w:val="20"/>
                <w:lang w:eastAsia="es-EC"/>
              </w:rPr>
              <w:t>X</w:t>
            </w:r>
          </w:p>
        </w:tc>
      </w:tr>
      <w:tr w:rsidR="00160081" w:rsidRPr="00160081" w14:paraId="293EC949" w14:textId="77777777" w:rsidTr="00EF5E37">
        <w:trPr>
          <w:trHeight w:val="20"/>
        </w:trPr>
        <w:tc>
          <w:tcPr>
            <w:tcW w:w="0" w:type="auto"/>
            <w:tcMar>
              <w:top w:w="180" w:type="dxa"/>
              <w:left w:w="0" w:type="dxa"/>
              <w:bottom w:w="180" w:type="dxa"/>
              <w:right w:w="240" w:type="dxa"/>
            </w:tcMar>
            <w:hideMark/>
          </w:tcPr>
          <w:p w14:paraId="66E86DD9" w14:textId="77777777" w:rsidR="00160081" w:rsidRPr="00160081" w:rsidRDefault="00160081" w:rsidP="00BD3D91">
            <w:pPr>
              <w:pStyle w:val="Prrafodelista"/>
              <w:suppressAutoHyphens/>
              <w:ind w:left="142" w:right="-182"/>
              <w:rPr>
                <w:rFonts w:cstheme="minorHAnsi"/>
                <w:sz w:val="20"/>
                <w:szCs w:val="20"/>
              </w:rPr>
            </w:pPr>
            <w:r w:rsidRPr="00160081">
              <w:rPr>
                <w:rFonts w:cstheme="minorHAnsi"/>
                <w:sz w:val="20"/>
                <w:szCs w:val="20"/>
              </w:rPr>
              <w:t>Evaluación y Trazabilidad</w:t>
            </w:r>
          </w:p>
        </w:tc>
        <w:tc>
          <w:tcPr>
            <w:tcW w:w="0" w:type="auto"/>
            <w:tcMar>
              <w:top w:w="180" w:type="dxa"/>
              <w:left w:w="0" w:type="dxa"/>
              <w:bottom w:w="180" w:type="dxa"/>
              <w:right w:w="240" w:type="dxa"/>
            </w:tcMar>
            <w:hideMark/>
          </w:tcPr>
          <w:p w14:paraId="7DCB19AF" w14:textId="77777777" w:rsidR="00160081" w:rsidRPr="00160081" w:rsidRDefault="00160081" w:rsidP="00BD3D91">
            <w:pPr>
              <w:pStyle w:val="Prrafodelista"/>
              <w:suppressAutoHyphens/>
              <w:ind w:left="80"/>
              <w:rPr>
                <w:rFonts w:cstheme="minorHAnsi"/>
                <w:sz w:val="20"/>
                <w:szCs w:val="20"/>
              </w:rPr>
            </w:pPr>
            <w:r w:rsidRPr="00160081">
              <w:rPr>
                <w:rFonts w:cstheme="minorHAnsi"/>
                <w:sz w:val="20"/>
                <w:szCs w:val="20"/>
              </w:rPr>
              <w:t>Registro completo de la evaluación de riesgos de cada contribuyente y las acciones de tratamiento aplicadas.</w:t>
            </w:r>
          </w:p>
        </w:tc>
        <w:tc>
          <w:tcPr>
            <w:tcW w:w="0" w:type="auto"/>
          </w:tcPr>
          <w:p w14:paraId="73A55870" w14:textId="77777777" w:rsidR="00160081" w:rsidRPr="00160081" w:rsidRDefault="00160081" w:rsidP="00BD3D91">
            <w:pPr>
              <w:suppressAutoHyphens/>
              <w:jc w:val="center"/>
              <w:rPr>
                <w:rFonts w:cstheme="minorHAnsi"/>
                <w:sz w:val="20"/>
                <w:szCs w:val="20"/>
              </w:rPr>
            </w:pPr>
            <w:r w:rsidRPr="00160081">
              <w:rPr>
                <w:rFonts w:cstheme="minorHAnsi"/>
                <w:color w:val="000000"/>
                <w:sz w:val="20"/>
                <w:szCs w:val="20"/>
                <w:lang w:eastAsia="es-EC"/>
              </w:rPr>
              <w:t>X</w:t>
            </w:r>
          </w:p>
        </w:tc>
      </w:tr>
      <w:tr w:rsidR="00160081" w:rsidRPr="00160081" w14:paraId="64560E5E" w14:textId="77777777" w:rsidTr="00EF5E37">
        <w:trPr>
          <w:trHeight w:val="20"/>
        </w:trPr>
        <w:tc>
          <w:tcPr>
            <w:tcW w:w="0" w:type="auto"/>
            <w:tcMar>
              <w:top w:w="180" w:type="dxa"/>
              <w:left w:w="0" w:type="dxa"/>
              <w:bottom w:w="180" w:type="dxa"/>
              <w:right w:w="240" w:type="dxa"/>
            </w:tcMar>
            <w:hideMark/>
          </w:tcPr>
          <w:p w14:paraId="68BCAE17" w14:textId="77777777" w:rsidR="00160081" w:rsidRPr="00160081" w:rsidRDefault="00160081" w:rsidP="00BD3D91">
            <w:pPr>
              <w:pStyle w:val="Prrafodelista"/>
              <w:suppressAutoHyphens/>
              <w:ind w:left="142" w:right="-182"/>
              <w:rPr>
                <w:rFonts w:cstheme="minorHAnsi"/>
                <w:sz w:val="20"/>
                <w:szCs w:val="20"/>
              </w:rPr>
            </w:pPr>
            <w:r w:rsidRPr="00160081">
              <w:rPr>
                <w:rFonts w:cstheme="minorHAnsi"/>
                <w:sz w:val="20"/>
                <w:szCs w:val="20"/>
              </w:rPr>
              <w:t>Usabilidad Usuario Final</w:t>
            </w:r>
          </w:p>
        </w:tc>
        <w:tc>
          <w:tcPr>
            <w:tcW w:w="0" w:type="auto"/>
            <w:tcMar>
              <w:top w:w="180" w:type="dxa"/>
              <w:left w:w="0" w:type="dxa"/>
              <w:bottom w:w="180" w:type="dxa"/>
              <w:right w:w="240" w:type="dxa"/>
            </w:tcMar>
            <w:hideMark/>
          </w:tcPr>
          <w:p w14:paraId="296F8784" w14:textId="77777777" w:rsidR="00160081" w:rsidRPr="00160081" w:rsidRDefault="00160081" w:rsidP="00BD3D91">
            <w:pPr>
              <w:pStyle w:val="Prrafodelista"/>
              <w:suppressAutoHyphens/>
              <w:ind w:left="80"/>
              <w:rPr>
                <w:rFonts w:cstheme="minorHAnsi"/>
                <w:sz w:val="20"/>
                <w:szCs w:val="20"/>
              </w:rPr>
            </w:pPr>
            <w:r w:rsidRPr="00160081">
              <w:rPr>
                <w:rFonts w:cstheme="minorHAnsi"/>
                <w:sz w:val="20"/>
                <w:szCs w:val="20"/>
              </w:rPr>
              <w:t>Muy Alta / Alta usabilidad para analistas funcionales. Interfaces intuitivas para la gestión de reglas y parámetros de riesgo.</w:t>
            </w:r>
          </w:p>
        </w:tc>
        <w:tc>
          <w:tcPr>
            <w:tcW w:w="0" w:type="auto"/>
          </w:tcPr>
          <w:p w14:paraId="36AEA0A8" w14:textId="77777777" w:rsidR="00160081" w:rsidRPr="00160081" w:rsidRDefault="00160081" w:rsidP="00BD3D91">
            <w:pPr>
              <w:suppressAutoHyphens/>
              <w:jc w:val="center"/>
              <w:rPr>
                <w:rFonts w:cstheme="minorHAnsi"/>
                <w:sz w:val="20"/>
                <w:szCs w:val="20"/>
              </w:rPr>
            </w:pPr>
            <w:r w:rsidRPr="00160081">
              <w:rPr>
                <w:rFonts w:cstheme="minorHAnsi"/>
                <w:color w:val="000000"/>
                <w:sz w:val="20"/>
                <w:szCs w:val="20"/>
                <w:lang w:eastAsia="es-EC"/>
              </w:rPr>
              <w:t>X</w:t>
            </w:r>
          </w:p>
        </w:tc>
      </w:tr>
    </w:tbl>
    <w:p w14:paraId="547214F9" w14:textId="77777777" w:rsidR="00160081" w:rsidRPr="00160081" w:rsidRDefault="00160081" w:rsidP="00160081">
      <w:pPr>
        <w:pStyle w:val="Ttulo1"/>
        <w:spacing w:before="0"/>
        <w:ind w:left="720"/>
        <w:rPr>
          <w:rFonts w:asciiTheme="minorHAnsi" w:eastAsia="Times New Roman" w:hAnsiTheme="minorHAnsi" w:cstheme="minorHAnsi"/>
          <w:b/>
          <w:bCs/>
          <w:color w:val="000000" w:themeColor="text1"/>
          <w:sz w:val="20"/>
          <w:szCs w:val="20"/>
        </w:rPr>
      </w:pPr>
    </w:p>
    <w:p w14:paraId="618CC3A6" w14:textId="77777777" w:rsidR="00160081" w:rsidRPr="00160081" w:rsidRDefault="00160081" w:rsidP="00EF5E37">
      <w:pPr>
        <w:pStyle w:val="Ttulo2"/>
        <w:numPr>
          <w:ilvl w:val="0"/>
          <w:numId w:val="132"/>
        </w:numPr>
        <w:tabs>
          <w:tab w:val="num" w:pos="720"/>
        </w:tabs>
        <w:ind w:left="426"/>
        <w:rPr>
          <w:rFonts w:asciiTheme="minorHAnsi" w:eastAsia="Times New Roman" w:hAnsiTheme="minorHAnsi" w:cstheme="minorHAnsi"/>
          <w:b/>
          <w:bCs/>
          <w:color w:val="auto"/>
          <w:sz w:val="20"/>
          <w:szCs w:val="20"/>
        </w:rPr>
      </w:pPr>
      <w:bookmarkStart w:id="77" w:name="_Toc216114241"/>
      <w:bookmarkStart w:id="78" w:name="_Toc217326219"/>
      <w:bookmarkEnd w:id="70"/>
      <w:r w:rsidRPr="00160081">
        <w:rPr>
          <w:rFonts w:asciiTheme="minorHAnsi" w:eastAsia="Times New Roman" w:hAnsiTheme="minorHAnsi" w:cstheme="minorHAnsi"/>
          <w:b/>
          <w:bCs/>
          <w:color w:val="auto"/>
          <w:sz w:val="20"/>
          <w:szCs w:val="20"/>
        </w:rPr>
        <w:t>Modelo de licenciamiento y actualización</w:t>
      </w:r>
      <w:bookmarkEnd w:id="77"/>
      <w:bookmarkEnd w:id="78"/>
    </w:p>
    <w:p w14:paraId="707D2CB6" w14:textId="77777777" w:rsidR="00160081" w:rsidRPr="00160081" w:rsidRDefault="00160081" w:rsidP="00160081">
      <w:pPr>
        <w:pStyle w:val="Prrafodelista"/>
        <w:ind w:left="1440"/>
        <w:rPr>
          <w:rFonts w:cstheme="minorHAnsi"/>
          <w:sz w:val="20"/>
          <w:szCs w:val="20"/>
          <w:u w:val="single"/>
        </w:rPr>
      </w:pPr>
    </w:p>
    <w:p w14:paraId="0D2940AD" w14:textId="77777777" w:rsidR="00160081" w:rsidRPr="00160081" w:rsidRDefault="00160081" w:rsidP="00EF5E37">
      <w:pPr>
        <w:pStyle w:val="Prrafodelista"/>
        <w:ind w:left="142"/>
        <w:rPr>
          <w:rFonts w:cstheme="minorHAnsi"/>
          <w:b/>
          <w:bCs/>
          <w:sz w:val="20"/>
          <w:szCs w:val="20"/>
        </w:rPr>
      </w:pPr>
      <w:bookmarkStart w:id="79" w:name="_Toc223508005"/>
      <w:r w:rsidRPr="00160081">
        <w:rPr>
          <w:rFonts w:cstheme="minorHAnsi"/>
          <w:b/>
          <w:bCs/>
          <w:sz w:val="20"/>
          <w:szCs w:val="20"/>
        </w:rPr>
        <w:t>7.1. Naturaleza y Modalidad de la Solución</w:t>
      </w:r>
      <w:bookmarkEnd w:id="79"/>
    </w:p>
    <w:p w14:paraId="02A2D863" w14:textId="77777777" w:rsidR="00160081" w:rsidRPr="00160081" w:rsidRDefault="00160081" w:rsidP="00160081">
      <w:pPr>
        <w:pStyle w:val="Prrafodelista"/>
        <w:ind w:left="1440"/>
        <w:rPr>
          <w:rFonts w:cstheme="minorHAnsi"/>
          <w:b/>
          <w:bCs/>
          <w:sz w:val="20"/>
          <w:szCs w:val="20"/>
        </w:rPr>
      </w:pPr>
    </w:p>
    <w:p w14:paraId="3C53EF89" w14:textId="77777777" w:rsidR="00160081" w:rsidRPr="00160081" w:rsidRDefault="00160081" w:rsidP="00160081">
      <w:pPr>
        <w:pStyle w:val="Prrafodelista"/>
        <w:numPr>
          <w:ilvl w:val="0"/>
          <w:numId w:val="99"/>
        </w:numPr>
        <w:spacing w:after="0" w:line="240" w:lineRule="auto"/>
        <w:ind w:left="1440"/>
        <w:rPr>
          <w:rFonts w:cstheme="minorHAnsi"/>
          <w:sz w:val="20"/>
          <w:szCs w:val="20"/>
        </w:rPr>
      </w:pPr>
      <w:r w:rsidRPr="00160081">
        <w:rPr>
          <w:rFonts w:cstheme="minorHAnsi"/>
          <w:sz w:val="20"/>
          <w:szCs w:val="20"/>
        </w:rPr>
        <w:t xml:space="preserve">La suite tecnológica integral será adquirida bajo la modalidad de Implementación </w:t>
      </w:r>
      <w:proofErr w:type="spellStart"/>
      <w:r w:rsidRPr="00160081">
        <w:rPr>
          <w:rFonts w:cstheme="minorHAnsi"/>
          <w:sz w:val="20"/>
          <w:szCs w:val="20"/>
        </w:rPr>
        <w:t>On</w:t>
      </w:r>
      <w:proofErr w:type="spellEnd"/>
      <w:r w:rsidRPr="00160081">
        <w:rPr>
          <w:rFonts w:cstheme="minorHAnsi"/>
          <w:sz w:val="20"/>
          <w:szCs w:val="20"/>
        </w:rPr>
        <w:t>-Premise, instalada íntegramente en la infraestructura del SRI.</w:t>
      </w:r>
    </w:p>
    <w:p w14:paraId="7B191CA1" w14:textId="77777777" w:rsidR="00160081" w:rsidRPr="00160081" w:rsidRDefault="00160081" w:rsidP="00EF5E37">
      <w:pPr>
        <w:pStyle w:val="Prrafodelista"/>
        <w:ind w:left="142"/>
        <w:rPr>
          <w:rFonts w:cstheme="minorHAnsi"/>
          <w:sz w:val="20"/>
          <w:szCs w:val="20"/>
        </w:rPr>
      </w:pPr>
    </w:p>
    <w:p w14:paraId="0D6C56BC" w14:textId="77777777" w:rsidR="00160081" w:rsidRPr="00160081" w:rsidRDefault="00160081" w:rsidP="00EF5E37">
      <w:pPr>
        <w:pStyle w:val="Prrafodelista"/>
        <w:numPr>
          <w:ilvl w:val="0"/>
          <w:numId w:val="99"/>
        </w:numPr>
        <w:spacing w:after="0" w:line="240" w:lineRule="auto"/>
        <w:ind w:left="1440"/>
        <w:jc w:val="both"/>
        <w:rPr>
          <w:rFonts w:cstheme="minorHAnsi"/>
          <w:sz w:val="20"/>
          <w:szCs w:val="20"/>
        </w:rPr>
      </w:pPr>
      <w:r w:rsidRPr="00160081">
        <w:rPr>
          <w:rFonts w:cstheme="minorHAnsi"/>
          <w:sz w:val="20"/>
          <w:szCs w:val="20"/>
        </w:rPr>
        <w:t xml:space="preserve">El contratista deberá asegurar que la solución no dependa de componentes en la nube pública (SaaS) para su funcionamiento </w:t>
      </w:r>
      <w:proofErr w:type="spellStart"/>
      <w:r w:rsidRPr="00160081">
        <w:rPr>
          <w:rFonts w:cstheme="minorHAnsi"/>
          <w:sz w:val="20"/>
          <w:szCs w:val="20"/>
        </w:rPr>
        <w:t>core</w:t>
      </w:r>
      <w:proofErr w:type="spellEnd"/>
      <w:r w:rsidRPr="00160081">
        <w:rPr>
          <w:rFonts w:cstheme="minorHAnsi"/>
          <w:sz w:val="20"/>
          <w:szCs w:val="20"/>
        </w:rPr>
        <w:t>, garantizando la soberanía y el control total de los datos por parte de la Institución.</w:t>
      </w:r>
    </w:p>
    <w:p w14:paraId="104822B9" w14:textId="77777777" w:rsidR="00160081" w:rsidRPr="00160081" w:rsidRDefault="00160081" w:rsidP="00160081">
      <w:pPr>
        <w:pStyle w:val="Prrafodelista"/>
        <w:ind w:left="1440"/>
        <w:rPr>
          <w:rFonts w:cstheme="minorHAnsi"/>
          <w:sz w:val="20"/>
          <w:szCs w:val="20"/>
        </w:rPr>
      </w:pPr>
    </w:p>
    <w:p w14:paraId="3A68BE11" w14:textId="77777777" w:rsidR="00160081" w:rsidRPr="00160081" w:rsidRDefault="00160081" w:rsidP="00EF5E37">
      <w:pPr>
        <w:pStyle w:val="Prrafodelista"/>
        <w:ind w:left="567"/>
        <w:rPr>
          <w:rFonts w:cstheme="minorHAnsi"/>
          <w:b/>
          <w:bCs/>
          <w:sz w:val="20"/>
          <w:szCs w:val="20"/>
        </w:rPr>
      </w:pPr>
      <w:bookmarkStart w:id="80" w:name="_Toc223508006"/>
      <w:r w:rsidRPr="00160081">
        <w:rPr>
          <w:rFonts w:cstheme="minorHAnsi"/>
          <w:b/>
          <w:bCs/>
          <w:sz w:val="20"/>
          <w:szCs w:val="20"/>
        </w:rPr>
        <w:t>7.2. Esquema de Licenciamiento o Suscripción Corporativo</w:t>
      </w:r>
      <w:bookmarkEnd w:id="80"/>
    </w:p>
    <w:p w14:paraId="5F50681E" w14:textId="77777777" w:rsidR="00160081" w:rsidRPr="00160081" w:rsidRDefault="00160081" w:rsidP="00EF5E37">
      <w:pPr>
        <w:pStyle w:val="Prrafodelista"/>
        <w:ind w:left="1440"/>
        <w:jc w:val="both"/>
        <w:rPr>
          <w:rFonts w:cstheme="minorHAnsi"/>
          <w:sz w:val="20"/>
          <w:szCs w:val="20"/>
        </w:rPr>
      </w:pPr>
    </w:p>
    <w:p w14:paraId="2AB72DDA" w14:textId="77777777" w:rsidR="00160081" w:rsidRPr="00160081" w:rsidRDefault="00160081" w:rsidP="00EF5E37">
      <w:pPr>
        <w:pStyle w:val="Prrafodelista"/>
        <w:ind w:left="1440"/>
        <w:jc w:val="both"/>
        <w:rPr>
          <w:rFonts w:cstheme="minorHAnsi"/>
          <w:sz w:val="20"/>
          <w:szCs w:val="20"/>
        </w:rPr>
      </w:pPr>
      <w:r w:rsidRPr="00160081">
        <w:rPr>
          <w:rFonts w:cstheme="minorHAnsi"/>
          <w:sz w:val="20"/>
          <w:szCs w:val="20"/>
        </w:rPr>
        <w:t xml:space="preserve">La suite tecnológica instalada íntegramente en la infraestructura del SRI incluye: </w:t>
      </w:r>
    </w:p>
    <w:p w14:paraId="5066CDB3" w14:textId="77777777" w:rsidR="00160081" w:rsidRPr="00160081" w:rsidRDefault="00160081" w:rsidP="00EF5E37">
      <w:pPr>
        <w:pStyle w:val="Prrafodelista"/>
        <w:ind w:left="1440"/>
        <w:jc w:val="both"/>
        <w:rPr>
          <w:rFonts w:cstheme="minorHAnsi"/>
          <w:sz w:val="20"/>
          <w:szCs w:val="20"/>
        </w:rPr>
      </w:pPr>
    </w:p>
    <w:p w14:paraId="12EE2D23" w14:textId="77777777" w:rsidR="00160081" w:rsidRPr="00160081" w:rsidRDefault="00160081" w:rsidP="00EF5E37">
      <w:pPr>
        <w:pStyle w:val="Prrafodelista"/>
        <w:numPr>
          <w:ilvl w:val="0"/>
          <w:numId w:val="58"/>
        </w:numPr>
        <w:spacing w:after="0" w:line="240" w:lineRule="auto"/>
        <w:ind w:left="1440" w:firstLine="131"/>
        <w:jc w:val="both"/>
        <w:rPr>
          <w:rFonts w:cstheme="minorHAnsi"/>
          <w:sz w:val="20"/>
          <w:szCs w:val="20"/>
        </w:rPr>
      </w:pPr>
      <w:r w:rsidRPr="00160081">
        <w:rPr>
          <w:rFonts w:cstheme="minorHAnsi"/>
          <w:sz w:val="20"/>
          <w:szCs w:val="20"/>
        </w:rPr>
        <w:t xml:space="preserve">Automatización de procesos (BPMS), </w:t>
      </w:r>
    </w:p>
    <w:p w14:paraId="56465AC6" w14:textId="77777777" w:rsidR="00160081" w:rsidRPr="00160081" w:rsidRDefault="00160081" w:rsidP="00EF5E37">
      <w:pPr>
        <w:pStyle w:val="Prrafodelista"/>
        <w:numPr>
          <w:ilvl w:val="0"/>
          <w:numId w:val="58"/>
        </w:numPr>
        <w:spacing w:after="0" w:line="240" w:lineRule="auto"/>
        <w:ind w:left="1440" w:firstLine="131"/>
        <w:jc w:val="both"/>
        <w:rPr>
          <w:rFonts w:cstheme="minorHAnsi"/>
          <w:sz w:val="20"/>
          <w:szCs w:val="20"/>
        </w:rPr>
      </w:pPr>
      <w:r w:rsidRPr="00160081">
        <w:rPr>
          <w:rFonts w:cstheme="minorHAnsi"/>
          <w:sz w:val="20"/>
          <w:szCs w:val="20"/>
        </w:rPr>
        <w:t xml:space="preserve">Gestión de reglas y decisiones (BRMS), </w:t>
      </w:r>
    </w:p>
    <w:p w14:paraId="64154D92" w14:textId="77777777" w:rsidR="00160081" w:rsidRPr="00160081" w:rsidRDefault="00160081" w:rsidP="00EF5E37">
      <w:pPr>
        <w:pStyle w:val="Prrafodelista"/>
        <w:numPr>
          <w:ilvl w:val="0"/>
          <w:numId w:val="58"/>
        </w:numPr>
        <w:spacing w:after="0" w:line="240" w:lineRule="auto"/>
        <w:ind w:left="1440" w:firstLine="131"/>
        <w:jc w:val="both"/>
        <w:rPr>
          <w:rFonts w:cstheme="minorHAnsi"/>
          <w:sz w:val="20"/>
          <w:szCs w:val="20"/>
        </w:rPr>
      </w:pPr>
      <w:r w:rsidRPr="00160081">
        <w:rPr>
          <w:rFonts w:cstheme="minorHAnsi"/>
          <w:sz w:val="20"/>
          <w:szCs w:val="20"/>
        </w:rPr>
        <w:t xml:space="preserve">Sistema de gestión de riesgos tributarios (SGRT). </w:t>
      </w:r>
    </w:p>
    <w:p w14:paraId="204DCC9B" w14:textId="77777777" w:rsidR="00160081" w:rsidRPr="00160081" w:rsidRDefault="00160081" w:rsidP="00EF5E37">
      <w:pPr>
        <w:pStyle w:val="Prrafodelista"/>
        <w:numPr>
          <w:ilvl w:val="0"/>
          <w:numId w:val="58"/>
        </w:numPr>
        <w:spacing w:after="0" w:line="240" w:lineRule="auto"/>
        <w:ind w:left="1440" w:firstLine="131"/>
        <w:jc w:val="both"/>
        <w:rPr>
          <w:rFonts w:cstheme="minorHAnsi"/>
          <w:sz w:val="20"/>
          <w:szCs w:val="20"/>
        </w:rPr>
      </w:pPr>
      <w:r w:rsidRPr="00160081">
        <w:rPr>
          <w:rFonts w:cstheme="minorHAnsi"/>
          <w:sz w:val="20"/>
          <w:szCs w:val="20"/>
        </w:rPr>
        <w:t xml:space="preserve">Gestión documental (ECM) </w:t>
      </w:r>
    </w:p>
    <w:p w14:paraId="63AF25BB" w14:textId="77777777" w:rsidR="00160081" w:rsidRPr="00160081" w:rsidRDefault="00160081" w:rsidP="00EF5E37">
      <w:pPr>
        <w:pStyle w:val="Prrafodelista"/>
        <w:numPr>
          <w:ilvl w:val="0"/>
          <w:numId w:val="58"/>
        </w:numPr>
        <w:spacing w:after="0" w:line="240" w:lineRule="auto"/>
        <w:ind w:left="1440" w:firstLine="131"/>
        <w:jc w:val="both"/>
        <w:rPr>
          <w:rFonts w:cstheme="minorHAnsi"/>
          <w:sz w:val="20"/>
          <w:szCs w:val="20"/>
        </w:rPr>
      </w:pPr>
      <w:r w:rsidRPr="00160081">
        <w:rPr>
          <w:rFonts w:cstheme="minorHAnsi"/>
          <w:sz w:val="20"/>
          <w:szCs w:val="20"/>
        </w:rPr>
        <w:t>Componentes adicionales y complementarios considerados</w:t>
      </w:r>
    </w:p>
    <w:p w14:paraId="51476574" w14:textId="77777777" w:rsidR="00160081" w:rsidRPr="00160081" w:rsidRDefault="00160081" w:rsidP="00EF5E37">
      <w:pPr>
        <w:pStyle w:val="Prrafodelista"/>
        <w:ind w:left="1440"/>
        <w:jc w:val="both"/>
        <w:rPr>
          <w:rFonts w:cstheme="minorHAnsi"/>
          <w:sz w:val="20"/>
          <w:szCs w:val="20"/>
        </w:rPr>
      </w:pPr>
    </w:p>
    <w:p w14:paraId="3B0BE9E9" w14:textId="77777777" w:rsidR="00160081" w:rsidRPr="00160081" w:rsidRDefault="00160081" w:rsidP="00EF5E37">
      <w:pPr>
        <w:pStyle w:val="Prrafodelista"/>
        <w:ind w:left="1440"/>
        <w:jc w:val="both"/>
        <w:rPr>
          <w:rFonts w:cstheme="minorHAnsi"/>
          <w:sz w:val="20"/>
          <w:szCs w:val="20"/>
        </w:rPr>
      </w:pPr>
      <w:r w:rsidRPr="00160081">
        <w:rPr>
          <w:rFonts w:cstheme="minorHAnsi"/>
          <w:sz w:val="20"/>
          <w:szCs w:val="20"/>
        </w:rPr>
        <w:t>El licenciamiento o suscripción de todos los componentes de la suite se regirá bajo las siguientes condiciones:</w:t>
      </w:r>
    </w:p>
    <w:p w14:paraId="53195028" w14:textId="77777777" w:rsidR="00160081" w:rsidRPr="00160081" w:rsidRDefault="00160081" w:rsidP="00EF5E37">
      <w:pPr>
        <w:pStyle w:val="Prrafodelista"/>
        <w:ind w:left="1440"/>
        <w:jc w:val="both"/>
        <w:rPr>
          <w:rFonts w:cstheme="minorHAnsi"/>
          <w:b/>
          <w:bCs/>
          <w:sz w:val="20"/>
          <w:szCs w:val="20"/>
        </w:rPr>
      </w:pPr>
    </w:p>
    <w:p w14:paraId="0D24F76F" w14:textId="77777777" w:rsidR="00160081" w:rsidRPr="00160081" w:rsidRDefault="00160081" w:rsidP="00EF5E37">
      <w:pPr>
        <w:pStyle w:val="Prrafodelista"/>
        <w:ind w:left="709"/>
        <w:jc w:val="both"/>
        <w:rPr>
          <w:rFonts w:cstheme="minorHAnsi"/>
          <w:b/>
          <w:bCs/>
          <w:sz w:val="20"/>
          <w:szCs w:val="20"/>
        </w:rPr>
      </w:pPr>
      <w:bookmarkStart w:id="81" w:name="_Toc223508007"/>
      <w:r w:rsidRPr="00160081">
        <w:rPr>
          <w:rFonts w:cstheme="minorHAnsi"/>
          <w:b/>
          <w:bCs/>
          <w:sz w:val="20"/>
          <w:szCs w:val="20"/>
        </w:rPr>
        <w:t>7.2.1 Licenciamiento Perpetuo</w:t>
      </w:r>
      <w:bookmarkEnd w:id="81"/>
    </w:p>
    <w:p w14:paraId="5E351C30" w14:textId="77777777" w:rsidR="00160081" w:rsidRPr="00160081" w:rsidRDefault="00160081" w:rsidP="00EF5E37">
      <w:pPr>
        <w:pStyle w:val="Prrafodelista"/>
        <w:ind w:left="709"/>
        <w:jc w:val="both"/>
        <w:rPr>
          <w:rFonts w:cstheme="minorHAnsi"/>
          <w:sz w:val="20"/>
          <w:szCs w:val="20"/>
        </w:rPr>
      </w:pPr>
    </w:p>
    <w:p w14:paraId="3687467D"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 xml:space="preserve">El modelo preferente es licenciamiento perpetuo por capacidad, pero se aceptará suscripción corporativa únicamente en componentes donde el fabricante no ofrezca modalidad perpetua, siempre garantizando instalación </w:t>
      </w:r>
      <w:proofErr w:type="spellStart"/>
      <w:r w:rsidRPr="00160081">
        <w:rPr>
          <w:rFonts w:cstheme="minorHAnsi"/>
          <w:sz w:val="20"/>
          <w:szCs w:val="20"/>
        </w:rPr>
        <w:t>On</w:t>
      </w:r>
      <w:proofErr w:type="spellEnd"/>
      <w:r w:rsidRPr="00160081">
        <w:rPr>
          <w:rFonts w:cstheme="minorHAnsi"/>
          <w:sz w:val="20"/>
          <w:szCs w:val="20"/>
        </w:rPr>
        <w:t>-Premise y titularidad a nombre del SRI.</w:t>
      </w:r>
    </w:p>
    <w:p w14:paraId="7EA7F635" w14:textId="77777777" w:rsidR="00160081" w:rsidRPr="00160081" w:rsidRDefault="00160081" w:rsidP="00EF5E37">
      <w:pPr>
        <w:pStyle w:val="Prrafodelista"/>
        <w:ind w:left="709"/>
        <w:jc w:val="both"/>
        <w:rPr>
          <w:rFonts w:cstheme="minorHAnsi"/>
          <w:sz w:val="20"/>
          <w:szCs w:val="20"/>
        </w:rPr>
      </w:pPr>
    </w:p>
    <w:p w14:paraId="0C9D566E"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 xml:space="preserve">El SRI adquirirá el derecho de uso no exclusivo y perpetuo de la solución. </w:t>
      </w:r>
    </w:p>
    <w:p w14:paraId="0B096127" w14:textId="77777777" w:rsidR="00160081" w:rsidRPr="00160081" w:rsidRDefault="00160081" w:rsidP="00EF5E37">
      <w:pPr>
        <w:pStyle w:val="Prrafodelista"/>
        <w:ind w:left="709"/>
        <w:jc w:val="both"/>
        <w:rPr>
          <w:rFonts w:cstheme="minorHAnsi"/>
          <w:sz w:val="20"/>
          <w:szCs w:val="20"/>
        </w:rPr>
      </w:pPr>
    </w:p>
    <w:p w14:paraId="01E0C893"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 xml:space="preserve">La métrica de licenciamiento considera el uso </w:t>
      </w:r>
      <w:r w:rsidRPr="00160081">
        <w:rPr>
          <w:rFonts w:cstheme="minorHAnsi"/>
          <w:b/>
          <w:bCs/>
          <w:sz w:val="20"/>
          <w:szCs w:val="20"/>
        </w:rPr>
        <w:t>por usuarios concurrentes</w:t>
      </w:r>
      <w:r w:rsidRPr="00160081">
        <w:rPr>
          <w:rFonts w:cstheme="minorHAnsi"/>
          <w:sz w:val="20"/>
          <w:szCs w:val="20"/>
        </w:rPr>
        <w:t>, esto quiere decir que no importa la cantidad de usuarios registrados en la Suite, pero si el uso simultaneo de la herramienta (cuantos usuarios conectados al mismo tiempo).</w:t>
      </w:r>
    </w:p>
    <w:p w14:paraId="277B53BF" w14:textId="77777777" w:rsidR="00160081" w:rsidRPr="00160081" w:rsidRDefault="00160081" w:rsidP="00EF5E37">
      <w:pPr>
        <w:pStyle w:val="Prrafodelista"/>
        <w:ind w:left="709"/>
        <w:jc w:val="both"/>
        <w:rPr>
          <w:rFonts w:cstheme="minorHAnsi"/>
          <w:sz w:val="20"/>
          <w:szCs w:val="20"/>
        </w:rPr>
      </w:pPr>
    </w:p>
    <w:p w14:paraId="41487D89"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 xml:space="preserve">El licenciamiento deberá incluir, sin costo adicional, el derecho a instalar e instanciar la suite en al menos tres (3) ambientes adicionales (Desarrollo, </w:t>
      </w:r>
      <w:proofErr w:type="spellStart"/>
      <w:r w:rsidRPr="00160081">
        <w:rPr>
          <w:rFonts w:cstheme="minorHAnsi"/>
          <w:sz w:val="20"/>
          <w:szCs w:val="20"/>
        </w:rPr>
        <w:t>Testing</w:t>
      </w:r>
      <w:proofErr w:type="spellEnd"/>
      <w:r w:rsidRPr="00160081">
        <w:rPr>
          <w:rFonts w:cstheme="minorHAnsi"/>
          <w:sz w:val="20"/>
          <w:szCs w:val="20"/>
        </w:rPr>
        <w:t xml:space="preserve"> y Preproducción) y un (1) ambiente de Contingencia o </w:t>
      </w:r>
      <w:proofErr w:type="spellStart"/>
      <w:r w:rsidRPr="00160081">
        <w:rPr>
          <w:rFonts w:cstheme="minorHAnsi"/>
          <w:sz w:val="20"/>
          <w:szCs w:val="20"/>
        </w:rPr>
        <w:t>Disaster</w:t>
      </w:r>
      <w:proofErr w:type="spellEnd"/>
      <w:r w:rsidRPr="00160081">
        <w:rPr>
          <w:rFonts w:cstheme="minorHAnsi"/>
          <w:sz w:val="20"/>
          <w:szCs w:val="20"/>
        </w:rPr>
        <w:t xml:space="preserve"> </w:t>
      </w:r>
      <w:proofErr w:type="spellStart"/>
      <w:r w:rsidRPr="00160081">
        <w:rPr>
          <w:rFonts w:cstheme="minorHAnsi"/>
          <w:sz w:val="20"/>
          <w:szCs w:val="20"/>
        </w:rPr>
        <w:t>Recovery</w:t>
      </w:r>
      <w:proofErr w:type="spellEnd"/>
      <w:r w:rsidRPr="00160081">
        <w:rPr>
          <w:rFonts w:cstheme="minorHAnsi"/>
          <w:sz w:val="20"/>
          <w:szCs w:val="20"/>
        </w:rPr>
        <w:t xml:space="preserve"> (DR).</w:t>
      </w:r>
    </w:p>
    <w:p w14:paraId="1504D5A0" w14:textId="77777777" w:rsidR="00160081" w:rsidRPr="00160081" w:rsidRDefault="00160081" w:rsidP="00EF5E37">
      <w:pPr>
        <w:pStyle w:val="Prrafodelista"/>
        <w:ind w:left="709"/>
        <w:jc w:val="both"/>
        <w:rPr>
          <w:rFonts w:cstheme="minorHAnsi"/>
          <w:sz w:val="20"/>
          <w:szCs w:val="20"/>
        </w:rPr>
      </w:pPr>
    </w:p>
    <w:p w14:paraId="75842154"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Dichos ambientes no deberán consumir las licencias de capacidad del ambiente de producción ni requerir la adquisición de licencias adicionales.</w:t>
      </w:r>
    </w:p>
    <w:p w14:paraId="68FF9B49" w14:textId="77777777" w:rsidR="00160081" w:rsidRPr="00160081" w:rsidRDefault="00160081" w:rsidP="00EF5E37">
      <w:pPr>
        <w:pStyle w:val="Prrafodelista"/>
        <w:ind w:left="709"/>
        <w:jc w:val="both"/>
        <w:rPr>
          <w:rFonts w:cstheme="minorHAnsi"/>
          <w:sz w:val="20"/>
          <w:szCs w:val="20"/>
        </w:rPr>
      </w:pPr>
    </w:p>
    <w:p w14:paraId="30F51E74"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En caso de activación del ambiente de contingencia por eventos de indisponibilidad o desastre, el SRI podrá operar temporalmente desde el ambiente DR utilizando las mismas licencias adquiridas, sin restricciones funcionales ni costos adicionales.</w:t>
      </w:r>
    </w:p>
    <w:p w14:paraId="469E274D" w14:textId="77777777" w:rsidR="00160081" w:rsidRPr="00160081" w:rsidRDefault="00160081" w:rsidP="00160081">
      <w:pPr>
        <w:pStyle w:val="Prrafodelista"/>
        <w:ind w:left="1440"/>
        <w:rPr>
          <w:rFonts w:cstheme="minorHAnsi"/>
          <w:sz w:val="20"/>
          <w:szCs w:val="20"/>
        </w:rPr>
      </w:pPr>
    </w:p>
    <w:p w14:paraId="3C5682AD" w14:textId="77777777" w:rsidR="00160081" w:rsidRPr="00160081" w:rsidRDefault="00160081" w:rsidP="00EF5E37">
      <w:pPr>
        <w:pStyle w:val="Prrafodelista"/>
        <w:ind w:left="709"/>
        <w:jc w:val="both"/>
        <w:rPr>
          <w:rFonts w:cstheme="minorHAnsi"/>
          <w:sz w:val="20"/>
          <w:szCs w:val="20"/>
        </w:rPr>
      </w:pPr>
      <w:r w:rsidRPr="00160081">
        <w:rPr>
          <w:rFonts w:cstheme="minorHAnsi"/>
          <w:sz w:val="20"/>
          <w:szCs w:val="20"/>
        </w:rPr>
        <w:t>El costo debe incluir todas las funcionalidades requeridas en el alcance, sin necesidad de adquirir módulos adicionales ("Add-</w:t>
      </w:r>
      <w:proofErr w:type="spellStart"/>
      <w:r w:rsidRPr="00160081">
        <w:rPr>
          <w:rFonts w:cstheme="minorHAnsi"/>
          <w:sz w:val="20"/>
          <w:szCs w:val="20"/>
        </w:rPr>
        <w:t>ons</w:t>
      </w:r>
      <w:proofErr w:type="spellEnd"/>
      <w:r w:rsidRPr="00160081">
        <w:rPr>
          <w:rFonts w:cstheme="minorHAnsi"/>
          <w:sz w:val="20"/>
          <w:szCs w:val="20"/>
        </w:rPr>
        <w:t>") para el cumplimiento de los requerimientos no funcionales</w:t>
      </w:r>
    </w:p>
    <w:p w14:paraId="0295C4D2" w14:textId="77777777" w:rsidR="00160081" w:rsidRPr="00160081" w:rsidRDefault="00160081" w:rsidP="00EF5E37">
      <w:pPr>
        <w:pStyle w:val="Prrafodelista"/>
        <w:ind w:left="567"/>
        <w:rPr>
          <w:rFonts w:cstheme="minorHAnsi"/>
          <w:b/>
          <w:bCs/>
          <w:sz w:val="20"/>
          <w:szCs w:val="20"/>
        </w:rPr>
      </w:pPr>
      <w:bookmarkStart w:id="82" w:name="_Toc223508008"/>
      <w:r w:rsidRPr="00160081">
        <w:rPr>
          <w:rFonts w:cstheme="minorHAnsi"/>
          <w:b/>
          <w:bCs/>
          <w:sz w:val="20"/>
          <w:szCs w:val="20"/>
        </w:rPr>
        <w:t>7.2.2 Uso Ilimitado de Negocio.</w:t>
      </w:r>
      <w:bookmarkEnd w:id="82"/>
    </w:p>
    <w:p w14:paraId="46AC4CE2" w14:textId="77777777" w:rsidR="00160081" w:rsidRPr="00160081" w:rsidRDefault="00160081" w:rsidP="00EF5E37">
      <w:pPr>
        <w:pStyle w:val="Prrafodelista"/>
        <w:ind w:left="567"/>
        <w:jc w:val="both"/>
        <w:rPr>
          <w:rFonts w:cstheme="minorHAnsi"/>
          <w:b/>
          <w:bCs/>
          <w:sz w:val="20"/>
          <w:szCs w:val="20"/>
        </w:rPr>
      </w:pPr>
    </w:p>
    <w:p w14:paraId="5B0E5477" w14:textId="77777777" w:rsidR="00160081" w:rsidRPr="00160081" w:rsidRDefault="00160081" w:rsidP="00EF5E37">
      <w:pPr>
        <w:pStyle w:val="Prrafodelista"/>
        <w:ind w:left="567"/>
        <w:jc w:val="both"/>
        <w:rPr>
          <w:rFonts w:cstheme="minorHAnsi"/>
          <w:sz w:val="20"/>
          <w:szCs w:val="20"/>
        </w:rPr>
      </w:pPr>
      <w:r w:rsidRPr="00160081">
        <w:rPr>
          <w:rFonts w:cstheme="minorHAnsi"/>
          <w:sz w:val="20"/>
          <w:szCs w:val="20"/>
        </w:rPr>
        <w:t>Dentro de la capacidad técnica adquirida, el licenciamiento no tendrá restricciones en cuanto a:</w:t>
      </w:r>
    </w:p>
    <w:p w14:paraId="4FCB4C52" w14:textId="77777777" w:rsidR="00160081" w:rsidRPr="00160081" w:rsidRDefault="00160081" w:rsidP="00EF5E37">
      <w:pPr>
        <w:pStyle w:val="Prrafodelista"/>
        <w:ind w:left="567"/>
        <w:jc w:val="both"/>
        <w:rPr>
          <w:rFonts w:cstheme="minorHAnsi"/>
          <w:sz w:val="20"/>
          <w:szCs w:val="20"/>
        </w:rPr>
      </w:pPr>
    </w:p>
    <w:p w14:paraId="453BBFA1" w14:textId="77777777" w:rsidR="00160081" w:rsidRPr="00160081" w:rsidRDefault="00160081" w:rsidP="00EF5E37">
      <w:pPr>
        <w:pStyle w:val="Prrafodelista"/>
        <w:numPr>
          <w:ilvl w:val="1"/>
          <w:numId w:val="142"/>
        </w:numPr>
        <w:spacing w:after="0" w:line="240" w:lineRule="auto"/>
        <w:ind w:left="567" w:firstLine="131"/>
        <w:jc w:val="both"/>
        <w:rPr>
          <w:rFonts w:cstheme="minorHAnsi"/>
          <w:sz w:val="20"/>
          <w:szCs w:val="20"/>
        </w:rPr>
      </w:pPr>
      <w:r w:rsidRPr="00160081">
        <w:rPr>
          <w:rFonts w:cstheme="minorHAnsi"/>
          <w:sz w:val="20"/>
          <w:szCs w:val="20"/>
        </w:rPr>
        <w:t>Número de procesos, flujos de trabajo o reglas de negocio desplegadas.</w:t>
      </w:r>
    </w:p>
    <w:p w14:paraId="2033552A" w14:textId="77777777" w:rsidR="00160081" w:rsidRPr="00160081" w:rsidRDefault="00160081" w:rsidP="00EF5E37">
      <w:pPr>
        <w:pStyle w:val="Prrafodelista"/>
        <w:numPr>
          <w:ilvl w:val="1"/>
          <w:numId w:val="142"/>
        </w:numPr>
        <w:spacing w:after="0" w:line="240" w:lineRule="auto"/>
        <w:ind w:left="567" w:firstLine="131"/>
        <w:jc w:val="both"/>
        <w:rPr>
          <w:rFonts w:cstheme="minorHAnsi"/>
          <w:sz w:val="20"/>
          <w:szCs w:val="20"/>
        </w:rPr>
      </w:pPr>
      <w:r w:rsidRPr="00160081">
        <w:rPr>
          <w:rFonts w:cstheme="minorHAnsi"/>
          <w:sz w:val="20"/>
          <w:szCs w:val="20"/>
        </w:rPr>
        <w:t>Volumen de documentos, expedientes o transacciones gestionadas.</w:t>
      </w:r>
    </w:p>
    <w:p w14:paraId="6C56DF48" w14:textId="77777777" w:rsidR="00160081" w:rsidRPr="00160081" w:rsidRDefault="00160081" w:rsidP="00EF5E37">
      <w:pPr>
        <w:pStyle w:val="Prrafodelista"/>
        <w:numPr>
          <w:ilvl w:val="1"/>
          <w:numId w:val="142"/>
        </w:numPr>
        <w:spacing w:after="0" w:line="240" w:lineRule="auto"/>
        <w:ind w:left="567" w:firstLine="131"/>
        <w:jc w:val="both"/>
        <w:rPr>
          <w:rFonts w:cstheme="minorHAnsi"/>
          <w:sz w:val="20"/>
          <w:szCs w:val="20"/>
        </w:rPr>
      </w:pPr>
      <w:r w:rsidRPr="00160081">
        <w:rPr>
          <w:rFonts w:cstheme="minorHAnsi"/>
          <w:sz w:val="20"/>
          <w:szCs w:val="20"/>
        </w:rPr>
        <w:t>Número de casos de uso o aplicaciones desarrolladas sobre la suite.</w:t>
      </w:r>
    </w:p>
    <w:p w14:paraId="5BC0C1BE" w14:textId="77777777" w:rsidR="00160081" w:rsidRPr="00160081" w:rsidRDefault="00160081" w:rsidP="00EF5E37">
      <w:pPr>
        <w:pStyle w:val="Prrafodelista"/>
        <w:ind w:left="567"/>
        <w:jc w:val="both"/>
        <w:rPr>
          <w:rFonts w:cstheme="minorHAnsi"/>
          <w:sz w:val="20"/>
          <w:szCs w:val="20"/>
        </w:rPr>
      </w:pPr>
    </w:p>
    <w:p w14:paraId="0CD58825" w14:textId="77777777" w:rsidR="00160081" w:rsidRPr="00160081" w:rsidRDefault="00160081" w:rsidP="00160081">
      <w:pPr>
        <w:pStyle w:val="Prrafodelista"/>
        <w:ind w:left="1440"/>
        <w:rPr>
          <w:rFonts w:cstheme="minorHAnsi"/>
          <w:sz w:val="20"/>
          <w:szCs w:val="20"/>
        </w:rPr>
      </w:pPr>
    </w:p>
    <w:p w14:paraId="76D4990D" w14:textId="77777777" w:rsidR="00160081" w:rsidRPr="00160081" w:rsidRDefault="00160081" w:rsidP="00EF5E37">
      <w:pPr>
        <w:pStyle w:val="Prrafodelista"/>
        <w:ind w:left="567"/>
        <w:jc w:val="both"/>
        <w:rPr>
          <w:rFonts w:cstheme="minorHAnsi"/>
          <w:b/>
          <w:bCs/>
          <w:sz w:val="20"/>
          <w:szCs w:val="20"/>
        </w:rPr>
      </w:pPr>
      <w:bookmarkStart w:id="83" w:name="_Toc223508009"/>
      <w:r w:rsidRPr="00160081">
        <w:rPr>
          <w:rFonts w:cstheme="minorHAnsi"/>
          <w:b/>
          <w:bCs/>
          <w:sz w:val="20"/>
          <w:szCs w:val="20"/>
        </w:rPr>
        <w:t>7.2.3 Titularidad de las Licencias:</w:t>
      </w:r>
      <w:bookmarkEnd w:id="83"/>
    </w:p>
    <w:p w14:paraId="55008EF8" w14:textId="77777777" w:rsidR="00160081" w:rsidRPr="00160081" w:rsidRDefault="00160081" w:rsidP="00EF5E37">
      <w:pPr>
        <w:pStyle w:val="Prrafodelista"/>
        <w:ind w:left="567"/>
        <w:jc w:val="both"/>
        <w:rPr>
          <w:rFonts w:cstheme="minorHAnsi"/>
          <w:sz w:val="20"/>
          <w:szCs w:val="20"/>
        </w:rPr>
      </w:pPr>
    </w:p>
    <w:p w14:paraId="117994B1" w14:textId="77777777" w:rsidR="00160081" w:rsidRPr="00160081" w:rsidRDefault="00160081" w:rsidP="00EF5E37">
      <w:pPr>
        <w:pStyle w:val="Prrafodelista"/>
        <w:ind w:left="567"/>
        <w:jc w:val="both"/>
        <w:rPr>
          <w:rFonts w:cstheme="minorHAnsi"/>
          <w:sz w:val="20"/>
          <w:szCs w:val="20"/>
        </w:rPr>
      </w:pPr>
      <w:r w:rsidRPr="00160081">
        <w:rPr>
          <w:rFonts w:cstheme="minorHAnsi"/>
          <w:sz w:val="20"/>
          <w:szCs w:val="20"/>
        </w:rPr>
        <w:t>Todas las licencias de software, suscripciones y certificados de soporte técnico de los componentes que integran la suite deberán ser emitidos obligatoriamente a nombre del contratante. En ninguna circunstancia el adjudicatario podrá aparecer como titular o beneficiario de los derechos de uso frente al fabricante.</w:t>
      </w:r>
    </w:p>
    <w:p w14:paraId="004A008E" w14:textId="77777777" w:rsidR="00160081" w:rsidRPr="00160081" w:rsidRDefault="00160081" w:rsidP="00EF5E37">
      <w:pPr>
        <w:pStyle w:val="Prrafodelista"/>
        <w:ind w:left="567"/>
        <w:jc w:val="both"/>
        <w:rPr>
          <w:rFonts w:cstheme="minorHAnsi"/>
          <w:b/>
          <w:bCs/>
          <w:sz w:val="20"/>
          <w:szCs w:val="20"/>
        </w:rPr>
      </w:pPr>
    </w:p>
    <w:p w14:paraId="3203E82E" w14:textId="77777777" w:rsidR="00160081" w:rsidRPr="00160081" w:rsidRDefault="00160081" w:rsidP="00EF5E37">
      <w:pPr>
        <w:pStyle w:val="Prrafodelista"/>
        <w:ind w:left="567"/>
        <w:jc w:val="both"/>
        <w:rPr>
          <w:rFonts w:cstheme="minorHAnsi"/>
          <w:b/>
          <w:bCs/>
          <w:sz w:val="20"/>
          <w:szCs w:val="20"/>
        </w:rPr>
      </w:pPr>
    </w:p>
    <w:p w14:paraId="5AEF0713" w14:textId="77777777" w:rsidR="00160081" w:rsidRPr="00160081" w:rsidRDefault="00160081" w:rsidP="00EF5E37">
      <w:pPr>
        <w:pStyle w:val="Prrafodelista"/>
        <w:ind w:left="567"/>
        <w:jc w:val="both"/>
        <w:rPr>
          <w:rFonts w:cstheme="minorHAnsi"/>
          <w:b/>
          <w:bCs/>
          <w:sz w:val="20"/>
          <w:szCs w:val="20"/>
        </w:rPr>
      </w:pPr>
      <w:bookmarkStart w:id="84" w:name="_Toc223508010"/>
      <w:r w:rsidRPr="00160081">
        <w:rPr>
          <w:rFonts w:cstheme="minorHAnsi"/>
          <w:b/>
          <w:bCs/>
          <w:sz w:val="20"/>
          <w:szCs w:val="20"/>
        </w:rPr>
        <w:t>7.2.4. Propiedad de los Desarrollos a Medida:</w:t>
      </w:r>
      <w:bookmarkEnd w:id="84"/>
    </w:p>
    <w:p w14:paraId="1EEF4E61" w14:textId="77777777" w:rsidR="00160081" w:rsidRPr="00160081" w:rsidRDefault="00160081" w:rsidP="00EF5E37">
      <w:pPr>
        <w:pStyle w:val="Prrafodelista"/>
        <w:ind w:left="567"/>
        <w:jc w:val="both"/>
        <w:rPr>
          <w:rFonts w:cstheme="minorHAnsi"/>
          <w:sz w:val="20"/>
          <w:szCs w:val="20"/>
        </w:rPr>
      </w:pPr>
    </w:p>
    <w:p w14:paraId="5D9E96FC" w14:textId="77777777" w:rsidR="00160081" w:rsidRPr="00160081" w:rsidRDefault="00160081" w:rsidP="00EF5E37">
      <w:pPr>
        <w:pStyle w:val="Prrafodelista"/>
        <w:ind w:left="567"/>
        <w:jc w:val="both"/>
        <w:rPr>
          <w:rFonts w:cstheme="minorHAnsi"/>
          <w:sz w:val="20"/>
          <w:szCs w:val="20"/>
        </w:rPr>
      </w:pPr>
      <w:r w:rsidRPr="00160081">
        <w:rPr>
          <w:rFonts w:cstheme="minorHAnsi"/>
          <w:sz w:val="20"/>
          <w:szCs w:val="20"/>
        </w:rPr>
        <w:t>Cualquier código fuente, configuración técnica, manual, API o integración desarrollada específicamente para satisfacer las necesidades de la institución durante la ejecución del contrato, será propiedad exclusiva del contratante. El proveedor deberá hacer entrega formal del código fuente documentado y los instaladores correspondientes al finalizar la implementación.</w:t>
      </w:r>
    </w:p>
    <w:p w14:paraId="281320C8" w14:textId="77777777" w:rsidR="00160081" w:rsidRPr="00160081" w:rsidRDefault="00160081" w:rsidP="00EF5E37">
      <w:pPr>
        <w:pStyle w:val="Prrafodelista"/>
        <w:ind w:left="567"/>
        <w:jc w:val="both"/>
        <w:rPr>
          <w:rFonts w:cstheme="minorHAnsi"/>
          <w:b/>
          <w:bCs/>
          <w:sz w:val="20"/>
          <w:szCs w:val="20"/>
        </w:rPr>
      </w:pPr>
    </w:p>
    <w:p w14:paraId="00DD6D54" w14:textId="77777777" w:rsidR="00160081" w:rsidRPr="00160081" w:rsidRDefault="00160081" w:rsidP="00EF5E37">
      <w:pPr>
        <w:pStyle w:val="Prrafodelista"/>
        <w:ind w:left="567"/>
        <w:jc w:val="both"/>
        <w:rPr>
          <w:rFonts w:cstheme="minorHAnsi"/>
          <w:b/>
          <w:bCs/>
          <w:sz w:val="20"/>
          <w:szCs w:val="20"/>
        </w:rPr>
      </w:pPr>
    </w:p>
    <w:p w14:paraId="49B7ECBB" w14:textId="77777777" w:rsidR="00160081" w:rsidRPr="00160081" w:rsidRDefault="00160081" w:rsidP="00EF5E37">
      <w:pPr>
        <w:pStyle w:val="Prrafodelista"/>
        <w:ind w:left="567"/>
        <w:jc w:val="both"/>
        <w:rPr>
          <w:rFonts w:cstheme="minorHAnsi"/>
          <w:b/>
          <w:bCs/>
          <w:sz w:val="20"/>
          <w:szCs w:val="20"/>
        </w:rPr>
      </w:pPr>
      <w:bookmarkStart w:id="85" w:name="_Toc223508011"/>
      <w:r w:rsidRPr="00160081">
        <w:rPr>
          <w:rFonts w:cstheme="minorHAnsi"/>
          <w:b/>
          <w:bCs/>
          <w:sz w:val="20"/>
          <w:szCs w:val="20"/>
        </w:rPr>
        <w:t>7.2.5. Software de Terceros y Soporte:</w:t>
      </w:r>
      <w:bookmarkEnd w:id="85"/>
    </w:p>
    <w:p w14:paraId="3001AB23" w14:textId="77777777" w:rsidR="00160081" w:rsidRPr="00160081" w:rsidRDefault="00160081" w:rsidP="00EF5E37">
      <w:pPr>
        <w:pStyle w:val="Prrafodelista"/>
        <w:ind w:left="567"/>
        <w:jc w:val="both"/>
        <w:rPr>
          <w:rFonts w:cstheme="minorHAnsi"/>
          <w:sz w:val="20"/>
          <w:szCs w:val="20"/>
        </w:rPr>
      </w:pPr>
    </w:p>
    <w:p w14:paraId="4B0F1D8E" w14:textId="77777777" w:rsidR="00160081" w:rsidRPr="00160081" w:rsidRDefault="00160081" w:rsidP="00EF5E37">
      <w:pPr>
        <w:pStyle w:val="Prrafodelista"/>
        <w:ind w:left="567"/>
        <w:jc w:val="both"/>
        <w:rPr>
          <w:rFonts w:cstheme="minorHAnsi"/>
          <w:sz w:val="20"/>
          <w:szCs w:val="20"/>
        </w:rPr>
      </w:pPr>
      <w:r w:rsidRPr="00160081">
        <w:rPr>
          <w:rFonts w:cstheme="minorHAnsi"/>
          <w:sz w:val="20"/>
          <w:szCs w:val="20"/>
        </w:rPr>
        <w:t>Como se estipuló anteriormente, no se aceptará software que dependa exclusivamente de soporte de comunidad. El adjudicatario garantiza que posee las autorizaciones del fabricante para comercializar, instalar y dar soporte sobre la suite ofertada, adjuntando la </w:t>
      </w:r>
      <w:r w:rsidRPr="00160081">
        <w:rPr>
          <w:rFonts w:cstheme="minorHAnsi"/>
          <w:b/>
          <w:bCs/>
          <w:sz w:val="20"/>
          <w:szCs w:val="20"/>
        </w:rPr>
        <w:t>Carta de Respaldo del Fabricante (</w:t>
      </w:r>
      <w:proofErr w:type="spellStart"/>
      <w:r w:rsidRPr="00160081">
        <w:rPr>
          <w:rFonts w:cstheme="minorHAnsi"/>
          <w:b/>
          <w:bCs/>
          <w:sz w:val="20"/>
          <w:szCs w:val="20"/>
        </w:rPr>
        <w:t>Manufacturer</w:t>
      </w:r>
      <w:proofErr w:type="spellEnd"/>
      <w:r w:rsidRPr="00160081">
        <w:rPr>
          <w:rFonts w:cstheme="minorHAnsi"/>
          <w:b/>
          <w:bCs/>
          <w:sz w:val="20"/>
          <w:szCs w:val="20"/>
        </w:rPr>
        <w:t xml:space="preserve"> </w:t>
      </w:r>
      <w:proofErr w:type="spellStart"/>
      <w:r w:rsidRPr="00160081">
        <w:rPr>
          <w:rFonts w:cstheme="minorHAnsi"/>
          <w:b/>
          <w:bCs/>
          <w:sz w:val="20"/>
          <w:szCs w:val="20"/>
        </w:rPr>
        <w:t>Authorization</w:t>
      </w:r>
      <w:proofErr w:type="spellEnd"/>
      <w:r w:rsidRPr="00160081">
        <w:rPr>
          <w:rFonts w:cstheme="minorHAnsi"/>
          <w:b/>
          <w:bCs/>
          <w:sz w:val="20"/>
          <w:szCs w:val="20"/>
        </w:rPr>
        <w:t xml:space="preserve"> Form - MAF)</w:t>
      </w:r>
      <w:r w:rsidRPr="00160081">
        <w:rPr>
          <w:rFonts w:cstheme="minorHAnsi"/>
          <w:sz w:val="20"/>
          <w:szCs w:val="20"/>
        </w:rPr>
        <w:t>.</w:t>
      </w:r>
    </w:p>
    <w:p w14:paraId="1DEDA123" w14:textId="77777777" w:rsidR="00160081" w:rsidRPr="00160081" w:rsidRDefault="00160081" w:rsidP="00EF5E37">
      <w:pPr>
        <w:pStyle w:val="Prrafodelista"/>
        <w:ind w:left="567"/>
        <w:jc w:val="both"/>
        <w:rPr>
          <w:rFonts w:cstheme="minorHAnsi"/>
          <w:sz w:val="20"/>
          <w:szCs w:val="20"/>
        </w:rPr>
      </w:pPr>
    </w:p>
    <w:p w14:paraId="404B794E" w14:textId="77777777" w:rsidR="00160081" w:rsidRPr="00160081" w:rsidRDefault="00160081" w:rsidP="00EF5E37">
      <w:pPr>
        <w:pStyle w:val="Prrafodelista"/>
        <w:ind w:left="567"/>
        <w:jc w:val="both"/>
        <w:rPr>
          <w:rFonts w:cstheme="minorHAnsi"/>
          <w:sz w:val="20"/>
          <w:szCs w:val="20"/>
        </w:rPr>
      </w:pPr>
    </w:p>
    <w:p w14:paraId="2A798B04" w14:textId="77777777" w:rsidR="00160081" w:rsidRPr="00160081" w:rsidRDefault="00160081" w:rsidP="00EF5E37">
      <w:pPr>
        <w:pStyle w:val="Prrafodelista"/>
        <w:ind w:left="567"/>
        <w:jc w:val="both"/>
        <w:rPr>
          <w:rFonts w:cstheme="minorHAnsi"/>
          <w:b/>
          <w:bCs/>
          <w:sz w:val="20"/>
          <w:szCs w:val="20"/>
        </w:rPr>
      </w:pPr>
      <w:bookmarkStart w:id="86" w:name="_Toc223508012"/>
      <w:r w:rsidRPr="00160081">
        <w:rPr>
          <w:rFonts w:cstheme="minorHAnsi"/>
          <w:b/>
          <w:bCs/>
          <w:sz w:val="20"/>
          <w:szCs w:val="20"/>
        </w:rPr>
        <w:t>7.2.6 Mantenimiento, Actualizaciones y Soporte Técnico.</w:t>
      </w:r>
      <w:bookmarkEnd w:id="86"/>
    </w:p>
    <w:p w14:paraId="13D6DE97" w14:textId="77777777" w:rsidR="00160081" w:rsidRPr="00160081" w:rsidRDefault="00160081" w:rsidP="00EF5E37">
      <w:pPr>
        <w:pStyle w:val="Prrafodelista"/>
        <w:ind w:left="567"/>
        <w:jc w:val="both"/>
        <w:rPr>
          <w:rFonts w:cstheme="minorHAnsi"/>
          <w:sz w:val="20"/>
          <w:szCs w:val="20"/>
        </w:rPr>
      </w:pPr>
    </w:p>
    <w:p w14:paraId="3525FAEE" w14:textId="77777777" w:rsidR="00160081" w:rsidRPr="00160081" w:rsidRDefault="00160081" w:rsidP="00EF5E37">
      <w:pPr>
        <w:pStyle w:val="Prrafodelista"/>
        <w:ind w:left="567"/>
        <w:jc w:val="both"/>
        <w:rPr>
          <w:rFonts w:cstheme="minorHAnsi"/>
          <w:sz w:val="20"/>
          <w:szCs w:val="20"/>
        </w:rPr>
      </w:pPr>
      <w:r w:rsidRPr="00160081">
        <w:rPr>
          <w:rFonts w:cstheme="minorHAnsi"/>
          <w:sz w:val="20"/>
          <w:szCs w:val="20"/>
        </w:rPr>
        <w:t>El licenciamiento o suscripción de la suite deberá incluir, sin costo adicional, el mantenimiento y soporte técnico oficial durante la vigencia del contrato, el contratista garantizará el servicio de mantenimiento integral lo descrito en la sección 8. Especificaciones de soporte y mantenimiento que incluye:</w:t>
      </w:r>
    </w:p>
    <w:p w14:paraId="0D185F85" w14:textId="77777777" w:rsidR="00160081" w:rsidRPr="00160081" w:rsidRDefault="00160081" w:rsidP="00EF5E37">
      <w:pPr>
        <w:pStyle w:val="Prrafodelista"/>
        <w:ind w:left="567"/>
        <w:jc w:val="both"/>
        <w:rPr>
          <w:rFonts w:cstheme="minorHAnsi"/>
          <w:sz w:val="20"/>
          <w:szCs w:val="20"/>
        </w:rPr>
      </w:pPr>
    </w:p>
    <w:p w14:paraId="7B1529BC" w14:textId="77777777" w:rsidR="00160081" w:rsidRPr="00160081" w:rsidRDefault="00160081" w:rsidP="00EF5E37">
      <w:pPr>
        <w:pStyle w:val="Prrafodelista"/>
        <w:numPr>
          <w:ilvl w:val="0"/>
          <w:numId w:val="89"/>
        </w:numPr>
        <w:tabs>
          <w:tab w:val="clear" w:pos="720"/>
        </w:tabs>
        <w:spacing w:after="0" w:line="240" w:lineRule="auto"/>
        <w:ind w:left="567" w:hanging="22"/>
        <w:jc w:val="both"/>
        <w:rPr>
          <w:rFonts w:cstheme="minorHAnsi"/>
          <w:sz w:val="20"/>
          <w:szCs w:val="20"/>
        </w:rPr>
      </w:pPr>
      <w:r w:rsidRPr="00160081">
        <w:rPr>
          <w:rFonts w:cstheme="minorHAnsi"/>
          <w:sz w:val="20"/>
          <w:szCs w:val="20"/>
        </w:rPr>
        <w:t>Actualizaciones Evolutivas y Correctivas.  El SRI tendrá acceso a todas las actualizaciones mayores (nuevas versiones/</w:t>
      </w:r>
      <w:proofErr w:type="spellStart"/>
      <w:r w:rsidRPr="00160081">
        <w:rPr>
          <w:rFonts w:cstheme="minorHAnsi"/>
          <w:sz w:val="20"/>
          <w:szCs w:val="20"/>
        </w:rPr>
        <w:t>upgrades</w:t>
      </w:r>
      <w:proofErr w:type="spellEnd"/>
      <w:r w:rsidRPr="00160081">
        <w:rPr>
          <w:rFonts w:cstheme="minorHAnsi"/>
          <w:sz w:val="20"/>
          <w:szCs w:val="20"/>
        </w:rPr>
        <w:t>), actualizaciones menores, parches de seguridad y cualquier ajuste o corrección liberados por el fabricante, sin costos adicionales para el SRI durante la vigencia del contrato.</w:t>
      </w:r>
    </w:p>
    <w:p w14:paraId="75EF08E1" w14:textId="77777777" w:rsidR="00160081" w:rsidRPr="00160081" w:rsidRDefault="00160081" w:rsidP="00EF5E37">
      <w:pPr>
        <w:pStyle w:val="Prrafodelista"/>
        <w:ind w:left="567" w:hanging="22"/>
        <w:jc w:val="both"/>
        <w:rPr>
          <w:rFonts w:cstheme="minorHAnsi"/>
          <w:sz w:val="20"/>
          <w:szCs w:val="20"/>
        </w:rPr>
      </w:pPr>
    </w:p>
    <w:p w14:paraId="6E349C0B" w14:textId="77777777" w:rsidR="00160081" w:rsidRPr="00160081" w:rsidRDefault="00160081" w:rsidP="00EF5E37">
      <w:pPr>
        <w:pStyle w:val="Prrafodelista"/>
        <w:numPr>
          <w:ilvl w:val="0"/>
          <w:numId w:val="89"/>
        </w:numPr>
        <w:tabs>
          <w:tab w:val="clear" w:pos="720"/>
        </w:tabs>
        <w:spacing w:after="0" w:line="240" w:lineRule="auto"/>
        <w:ind w:left="567" w:hanging="22"/>
        <w:jc w:val="both"/>
        <w:rPr>
          <w:rFonts w:cstheme="minorHAnsi"/>
          <w:sz w:val="20"/>
          <w:szCs w:val="20"/>
        </w:rPr>
      </w:pPr>
      <w:r w:rsidRPr="00160081">
        <w:rPr>
          <w:rFonts w:cstheme="minorHAnsi"/>
          <w:sz w:val="20"/>
          <w:szCs w:val="20"/>
        </w:rPr>
        <w:t>Gobernanza de Actualizaciones. El contratista proporcionará los mecanismos para la validación de actualizaciones en ambientes productivos, contingencia y no productivos, asegurando la compatibilidad con las configuraciones y artefactos previamente desarrollados por el SRI.</w:t>
      </w:r>
    </w:p>
    <w:p w14:paraId="73533905" w14:textId="77777777" w:rsidR="00160081" w:rsidRPr="00160081" w:rsidRDefault="00160081" w:rsidP="00EF5E37">
      <w:pPr>
        <w:pStyle w:val="Prrafodelista"/>
        <w:ind w:left="567"/>
        <w:jc w:val="both"/>
        <w:rPr>
          <w:rFonts w:cstheme="minorHAnsi"/>
          <w:sz w:val="20"/>
          <w:szCs w:val="20"/>
        </w:rPr>
      </w:pPr>
    </w:p>
    <w:p w14:paraId="5ABF6BBA" w14:textId="77777777" w:rsidR="00160081" w:rsidRPr="00160081" w:rsidRDefault="00160081" w:rsidP="00EF5E37">
      <w:pPr>
        <w:pStyle w:val="Prrafodelista"/>
        <w:numPr>
          <w:ilvl w:val="0"/>
          <w:numId w:val="89"/>
        </w:numPr>
        <w:tabs>
          <w:tab w:val="clear" w:pos="720"/>
        </w:tabs>
        <w:spacing w:after="0" w:line="240" w:lineRule="auto"/>
        <w:ind w:left="567" w:hanging="22"/>
        <w:jc w:val="both"/>
        <w:rPr>
          <w:rFonts w:cstheme="minorHAnsi"/>
          <w:sz w:val="20"/>
          <w:szCs w:val="20"/>
        </w:rPr>
      </w:pPr>
      <w:r w:rsidRPr="00160081">
        <w:rPr>
          <w:rFonts w:cstheme="minorHAnsi"/>
          <w:sz w:val="20"/>
          <w:szCs w:val="20"/>
        </w:rPr>
        <w:t>Soporte Técnico Especializado. Se debe garantizar soporte nivel L1, L2 y L3, con atención 24/7 para incidentes críticos y acceso directo a la base de conocimientos y herramientas de diagnóstico del fabricante, durante la vigencia del contrato y en los términos establecidos en el numeral 8 Especificaciones de soporte y mantenimiento del presente documento.</w:t>
      </w:r>
    </w:p>
    <w:p w14:paraId="7C94A299" w14:textId="77777777" w:rsidR="00160081" w:rsidRPr="00160081" w:rsidRDefault="00160081" w:rsidP="00160081">
      <w:pPr>
        <w:pStyle w:val="Prrafodelista"/>
        <w:rPr>
          <w:rFonts w:cstheme="minorHAnsi"/>
          <w:sz w:val="20"/>
          <w:szCs w:val="20"/>
        </w:rPr>
      </w:pPr>
    </w:p>
    <w:p w14:paraId="6D2EB43A" w14:textId="77777777" w:rsidR="00160081" w:rsidRPr="00160081" w:rsidRDefault="00160081" w:rsidP="00160081">
      <w:pPr>
        <w:jc w:val="both"/>
        <w:rPr>
          <w:rFonts w:cstheme="minorHAnsi"/>
          <w:b/>
          <w:bCs/>
          <w:sz w:val="20"/>
          <w:szCs w:val="20"/>
        </w:rPr>
      </w:pPr>
      <w:r w:rsidRPr="00160081">
        <w:rPr>
          <w:rFonts w:cstheme="minorHAnsi"/>
          <w:b/>
          <w:bCs/>
          <w:sz w:val="20"/>
          <w:szCs w:val="20"/>
        </w:rPr>
        <w:t>7.3 Condiciones mínimas al finalizar el contrato</w:t>
      </w:r>
    </w:p>
    <w:p w14:paraId="2741990C" w14:textId="77777777" w:rsidR="00160081" w:rsidRPr="00160081" w:rsidRDefault="00160081" w:rsidP="00160081">
      <w:pPr>
        <w:pStyle w:val="Prrafodelista"/>
        <w:ind w:left="0"/>
        <w:jc w:val="both"/>
        <w:rPr>
          <w:rFonts w:cstheme="minorHAnsi"/>
          <w:sz w:val="20"/>
          <w:szCs w:val="20"/>
        </w:rPr>
      </w:pPr>
      <w:r w:rsidRPr="00160081">
        <w:rPr>
          <w:rFonts w:cstheme="minorHAnsi"/>
          <w:sz w:val="20"/>
          <w:szCs w:val="20"/>
        </w:rPr>
        <w:t>A continuación, se detallan las condiciones mínimas que el contratista deberá cumplir al finalizar la ejecución del contrato.</w:t>
      </w:r>
    </w:p>
    <w:p w14:paraId="1A991942" w14:textId="77777777" w:rsidR="00160081" w:rsidRPr="00160081" w:rsidRDefault="00160081" w:rsidP="00160081">
      <w:pPr>
        <w:pStyle w:val="Prrafodelista"/>
        <w:jc w:val="both"/>
        <w:rPr>
          <w:rFonts w:cstheme="minorHAnsi"/>
          <w:sz w:val="20"/>
          <w:szCs w:val="20"/>
        </w:rPr>
      </w:pPr>
    </w:p>
    <w:p w14:paraId="7E6ABFC8" w14:textId="77777777" w:rsidR="00160081" w:rsidRPr="00160081" w:rsidRDefault="00160081" w:rsidP="00160081">
      <w:pPr>
        <w:pStyle w:val="Prrafodelista"/>
        <w:numPr>
          <w:ilvl w:val="0"/>
          <w:numId w:val="165"/>
        </w:numPr>
        <w:spacing w:after="0" w:line="240" w:lineRule="auto"/>
        <w:jc w:val="both"/>
        <w:rPr>
          <w:rFonts w:cstheme="minorHAnsi"/>
          <w:sz w:val="20"/>
          <w:szCs w:val="20"/>
        </w:rPr>
      </w:pPr>
      <w:r w:rsidRPr="00160081">
        <w:rPr>
          <w:rFonts w:cstheme="minorHAnsi"/>
          <w:sz w:val="20"/>
          <w:szCs w:val="20"/>
        </w:rPr>
        <w:t>Entregar al finalizar el contrato un "Estado de situación de la suite tecnológica integral" que certifique que todos los componentes se encuentran actualizados y en condiciones óptimas de operación.</w:t>
      </w:r>
    </w:p>
    <w:p w14:paraId="604C4E72" w14:textId="77777777" w:rsidR="00160081" w:rsidRPr="00160081" w:rsidRDefault="00160081" w:rsidP="00160081">
      <w:pPr>
        <w:pStyle w:val="Prrafodelista"/>
        <w:numPr>
          <w:ilvl w:val="0"/>
          <w:numId w:val="165"/>
        </w:numPr>
        <w:spacing w:after="0" w:line="240" w:lineRule="auto"/>
        <w:jc w:val="both"/>
        <w:rPr>
          <w:rFonts w:cstheme="minorHAnsi"/>
          <w:sz w:val="20"/>
          <w:szCs w:val="20"/>
        </w:rPr>
      </w:pPr>
      <w:r w:rsidRPr="00160081">
        <w:rPr>
          <w:rFonts w:cstheme="minorHAnsi"/>
          <w:sz w:val="20"/>
          <w:szCs w:val="20"/>
        </w:rPr>
        <w:t>Repositorio de toda la documentación generada durante el inicio y ejecución del contrato, que incluya al menos la documentación de incidentes y monitoreo presentados sobre el software y hardware base (base de conocimiento).</w:t>
      </w:r>
    </w:p>
    <w:p w14:paraId="6A6A4FBE" w14:textId="77777777" w:rsidR="00160081" w:rsidRPr="00160081" w:rsidRDefault="00160081" w:rsidP="00160081">
      <w:pPr>
        <w:pStyle w:val="Prrafodelista"/>
        <w:jc w:val="both"/>
        <w:rPr>
          <w:rFonts w:cstheme="minorHAnsi"/>
          <w:sz w:val="20"/>
          <w:szCs w:val="20"/>
        </w:rPr>
      </w:pPr>
    </w:p>
    <w:p w14:paraId="0B820E2F" w14:textId="77777777" w:rsidR="00160081" w:rsidRPr="00160081" w:rsidRDefault="00160081" w:rsidP="00160081">
      <w:pPr>
        <w:pStyle w:val="Prrafodelista"/>
        <w:numPr>
          <w:ilvl w:val="0"/>
          <w:numId w:val="165"/>
        </w:numPr>
        <w:spacing w:after="0" w:line="240" w:lineRule="auto"/>
        <w:jc w:val="both"/>
        <w:rPr>
          <w:rFonts w:cstheme="minorHAnsi"/>
          <w:sz w:val="20"/>
          <w:szCs w:val="20"/>
        </w:rPr>
      </w:pPr>
      <w:r w:rsidRPr="00160081">
        <w:rPr>
          <w:rFonts w:cstheme="minorHAnsi"/>
          <w:sz w:val="20"/>
          <w:szCs w:val="20"/>
        </w:rPr>
        <w:t>El modelo de licenciamiento perpetuo adquirido deberá garantizar que el SRI mantenga plena autonomía para la operación, administración, evolución y mantenimiento de la suite tecnológica, pudiendo desarrollar con personal propio del SRI o contratar servicios de soporte, mantenimiento o desarrollo evolutivo con el fabricante o con terceros especializados, sin penalidades, restricciones técnicas ni pérdida de derechos sobre el uso de la solución.</w:t>
      </w:r>
    </w:p>
    <w:p w14:paraId="1766D29B" w14:textId="77777777" w:rsidR="00160081" w:rsidRPr="00160081" w:rsidRDefault="00160081" w:rsidP="00160081">
      <w:pPr>
        <w:pStyle w:val="Prrafodelista"/>
        <w:jc w:val="both"/>
        <w:rPr>
          <w:rFonts w:cstheme="minorHAnsi"/>
          <w:sz w:val="20"/>
          <w:szCs w:val="20"/>
        </w:rPr>
      </w:pPr>
    </w:p>
    <w:p w14:paraId="5EAA3A41" w14:textId="77777777" w:rsidR="00160081" w:rsidRPr="00160081" w:rsidRDefault="00160081" w:rsidP="00160081">
      <w:pPr>
        <w:pStyle w:val="Prrafodelista"/>
        <w:numPr>
          <w:ilvl w:val="0"/>
          <w:numId w:val="165"/>
        </w:numPr>
        <w:spacing w:after="0" w:line="240" w:lineRule="auto"/>
        <w:jc w:val="both"/>
        <w:rPr>
          <w:rFonts w:cstheme="minorHAnsi"/>
          <w:sz w:val="20"/>
          <w:szCs w:val="20"/>
        </w:rPr>
      </w:pPr>
      <w:r w:rsidRPr="00160081">
        <w:rPr>
          <w:rFonts w:cstheme="minorHAnsi"/>
          <w:sz w:val="20"/>
          <w:szCs w:val="20"/>
        </w:rPr>
        <w:t>El contratista deberá asegurar que la solución no incorpore mecanismos de dependencia tecnológica exclusiva (</w:t>
      </w:r>
      <w:proofErr w:type="spellStart"/>
      <w:r w:rsidRPr="00160081">
        <w:rPr>
          <w:rFonts w:cstheme="minorHAnsi"/>
          <w:sz w:val="20"/>
          <w:szCs w:val="20"/>
        </w:rPr>
        <w:t>vendor</w:t>
      </w:r>
      <w:proofErr w:type="spellEnd"/>
      <w:r w:rsidRPr="00160081">
        <w:rPr>
          <w:rFonts w:cstheme="minorHAnsi"/>
          <w:sz w:val="20"/>
          <w:szCs w:val="20"/>
        </w:rPr>
        <w:t xml:space="preserve"> </w:t>
      </w:r>
      <w:proofErr w:type="spellStart"/>
      <w:r w:rsidRPr="00160081">
        <w:rPr>
          <w:rFonts w:cstheme="minorHAnsi"/>
          <w:sz w:val="20"/>
          <w:szCs w:val="20"/>
        </w:rPr>
        <w:t>lock</w:t>
      </w:r>
      <w:proofErr w:type="spellEnd"/>
      <w:r w:rsidRPr="00160081">
        <w:rPr>
          <w:rFonts w:cstheme="minorHAnsi"/>
          <w:sz w:val="20"/>
          <w:szCs w:val="20"/>
        </w:rPr>
        <w:t>-in) que limiten la administración de la plataforma por parte del SRI o de terceros autorizados.</w:t>
      </w:r>
    </w:p>
    <w:p w14:paraId="4389C76C" w14:textId="77777777" w:rsidR="00160081" w:rsidRPr="00160081" w:rsidRDefault="00160081" w:rsidP="00160081">
      <w:pPr>
        <w:pStyle w:val="Prrafodelista"/>
        <w:jc w:val="both"/>
        <w:rPr>
          <w:rFonts w:cstheme="minorHAnsi"/>
          <w:sz w:val="20"/>
          <w:szCs w:val="20"/>
        </w:rPr>
      </w:pPr>
    </w:p>
    <w:p w14:paraId="17B46516" w14:textId="77777777" w:rsidR="00160081" w:rsidRPr="00160081" w:rsidRDefault="00160081" w:rsidP="00160081">
      <w:pPr>
        <w:pStyle w:val="Prrafodelista"/>
        <w:numPr>
          <w:ilvl w:val="0"/>
          <w:numId w:val="165"/>
        </w:numPr>
        <w:spacing w:after="0" w:line="240" w:lineRule="auto"/>
        <w:jc w:val="both"/>
        <w:rPr>
          <w:rFonts w:cstheme="minorHAnsi"/>
          <w:sz w:val="20"/>
          <w:szCs w:val="20"/>
        </w:rPr>
      </w:pPr>
      <w:r w:rsidRPr="00160081">
        <w:rPr>
          <w:rFonts w:cstheme="minorHAnsi"/>
          <w:sz w:val="20"/>
          <w:szCs w:val="20"/>
        </w:rPr>
        <w:t>Asimismo, deberá entregarse toda la documentación técnica, arquitectónica, de configuración, parametrización, modelos de procesos, reglas de negocio, integraciones y artefactos desarrollados, necesarios para garantizar la continuidad operativa y la transferencia efectiva de conocimiento al SRI</w:t>
      </w:r>
    </w:p>
    <w:p w14:paraId="7E96B137" w14:textId="77777777" w:rsidR="00160081" w:rsidRPr="00160081" w:rsidRDefault="00160081" w:rsidP="00160081">
      <w:pPr>
        <w:pStyle w:val="Prrafodelista"/>
        <w:rPr>
          <w:rFonts w:cstheme="minorHAnsi"/>
          <w:sz w:val="20"/>
          <w:szCs w:val="20"/>
        </w:rPr>
      </w:pPr>
    </w:p>
    <w:p w14:paraId="76197BF8" w14:textId="77777777" w:rsidR="00160081" w:rsidRPr="00160081" w:rsidRDefault="00160081" w:rsidP="00160081">
      <w:pPr>
        <w:pStyle w:val="Prrafodelista"/>
        <w:numPr>
          <w:ilvl w:val="0"/>
          <w:numId w:val="165"/>
        </w:numPr>
        <w:spacing w:after="0" w:line="240" w:lineRule="auto"/>
        <w:rPr>
          <w:rFonts w:cstheme="minorHAnsi"/>
          <w:sz w:val="20"/>
          <w:szCs w:val="20"/>
        </w:rPr>
      </w:pPr>
      <w:r w:rsidRPr="00160081">
        <w:rPr>
          <w:rFonts w:cstheme="minorHAnsi"/>
          <w:sz w:val="20"/>
          <w:szCs w:val="20"/>
        </w:rPr>
        <w:t>Documentación para el monitoreo de del software y hardware base.</w:t>
      </w:r>
    </w:p>
    <w:p w14:paraId="4AB5D600" w14:textId="77777777" w:rsidR="00160081" w:rsidRPr="00160081" w:rsidRDefault="00160081" w:rsidP="00160081">
      <w:pPr>
        <w:pStyle w:val="Prrafodelista"/>
        <w:rPr>
          <w:rFonts w:cstheme="minorHAnsi"/>
          <w:sz w:val="20"/>
          <w:szCs w:val="20"/>
        </w:rPr>
      </w:pPr>
    </w:p>
    <w:p w14:paraId="3CDF900C" w14:textId="77777777" w:rsidR="00160081" w:rsidRPr="00160081" w:rsidRDefault="00160081" w:rsidP="00160081">
      <w:pPr>
        <w:pStyle w:val="Prrafodelista"/>
        <w:numPr>
          <w:ilvl w:val="0"/>
          <w:numId w:val="165"/>
        </w:numPr>
        <w:spacing w:after="0" w:line="240" w:lineRule="auto"/>
        <w:rPr>
          <w:rFonts w:cstheme="minorHAnsi"/>
          <w:sz w:val="20"/>
          <w:szCs w:val="20"/>
        </w:rPr>
      </w:pPr>
      <w:r w:rsidRPr="00160081">
        <w:rPr>
          <w:rFonts w:cstheme="minorHAnsi"/>
          <w:sz w:val="20"/>
          <w:szCs w:val="20"/>
        </w:rPr>
        <w:t>Documentación de incidentes presentados sobre el software y hardware base (base de conocimiento.)</w:t>
      </w:r>
    </w:p>
    <w:p w14:paraId="67A5F23A" w14:textId="77777777" w:rsidR="00160081" w:rsidRPr="00160081" w:rsidRDefault="00160081" w:rsidP="00160081">
      <w:pPr>
        <w:rPr>
          <w:rFonts w:cstheme="minorHAnsi"/>
          <w:sz w:val="20"/>
          <w:szCs w:val="20"/>
        </w:rPr>
      </w:pPr>
    </w:p>
    <w:p w14:paraId="644A7B0D"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87" w:name="_Toc216114242"/>
      <w:bookmarkStart w:id="88" w:name="_Toc217326220"/>
      <w:r w:rsidRPr="00160081">
        <w:rPr>
          <w:rFonts w:asciiTheme="minorHAnsi" w:eastAsia="Times New Roman" w:hAnsiTheme="minorHAnsi" w:cstheme="minorHAnsi"/>
          <w:b/>
          <w:bCs/>
          <w:color w:val="auto"/>
          <w:sz w:val="20"/>
          <w:szCs w:val="20"/>
        </w:rPr>
        <w:t>Especificaciones de soporte y mantenimiento</w:t>
      </w:r>
      <w:bookmarkEnd w:id="87"/>
      <w:bookmarkEnd w:id="88"/>
    </w:p>
    <w:p w14:paraId="42770DED" w14:textId="77777777" w:rsidR="00EF5E37" w:rsidRDefault="00EF5E37" w:rsidP="00160081">
      <w:pPr>
        <w:jc w:val="both"/>
        <w:rPr>
          <w:rFonts w:cstheme="minorHAnsi"/>
          <w:sz w:val="20"/>
          <w:szCs w:val="20"/>
        </w:rPr>
      </w:pPr>
    </w:p>
    <w:p w14:paraId="25FF47DA" w14:textId="18B71396" w:rsidR="00160081" w:rsidRPr="00160081" w:rsidRDefault="00160081" w:rsidP="00160081">
      <w:pPr>
        <w:jc w:val="both"/>
        <w:rPr>
          <w:rFonts w:cstheme="minorHAnsi"/>
          <w:sz w:val="20"/>
          <w:szCs w:val="20"/>
        </w:rPr>
      </w:pPr>
      <w:r w:rsidRPr="00160081">
        <w:rPr>
          <w:rFonts w:cstheme="minorHAnsi"/>
          <w:sz w:val="20"/>
          <w:szCs w:val="20"/>
        </w:rPr>
        <w:t xml:space="preserve">Esta sección establece las obligaciones del contratista respecto de la prestación de servicios de soporte, mantenimiento preventivo y correctivo, actualizaciones, acompañamiento técnico y atención de incidentes durante toda la vigencia contractual. Todos los alcances definidos en este numeral son de estricto cumplimiento y forman parte integral de la prestación del servicio bajo un modelo </w:t>
      </w:r>
      <w:proofErr w:type="spellStart"/>
      <w:r w:rsidRPr="00160081">
        <w:rPr>
          <w:rFonts w:cstheme="minorHAnsi"/>
          <w:sz w:val="20"/>
          <w:szCs w:val="20"/>
        </w:rPr>
        <w:t>on</w:t>
      </w:r>
      <w:proofErr w:type="spellEnd"/>
      <w:r w:rsidRPr="00160081">
        <w:rPr>
          <w:rFonts w:cstheme="minorHAnsi"/>
          <w:sz w:val="20"/>
          <w:szCs w:val="20"/>
        </w:rPr>
        <w:t>-premise.</w:t>
      </w:r>
    </w:p>
    <w:p w14:paraId="7F4C7C2D" w14:textId="77777777" w:rsidR="00160081" w:rsidRPr="00160081" w:rsidRDefault="00160081" w:rsidP="00160081">
      <w:pPr>
        <w:jc w:val="both"/>
        <w:rPr>
          <w:rFonts w:cstheme="minorHAnsi"/>
          <w:sz w:val="20"/>
          <w:szCs w:val="20"/>
        </w:rPr>
      </w:pPr>
      <w:r w:rsidRPr="00160081">
        <w:rPr>
          <w:rFonts w:cstheme="minorHAnsi"/>
          <w:sz w:val="20"/>
          <w:szCs w:val="20"/>
        </w:rPr>
        <w:t>El contratista será responsable de asegurar la continuidad operativa, estabilidad técnica, seguridad, disponibilidad y evolución controlada de la solución, debiendo contar con personal acreditado por el fabricante y con mecanismos formales de registro, atención y resolución de incidentes conforme a los Acuerdos de Niveles de Servicio (ANS) establecidos.</w:t>
      </w:r>
    </w:p>
    <w:p w14:paraId="4BC84FAA" w14:textId="77777777" w:rsidR="00160081" w:rsidRPr="00160081" w:rsidRDefault="00160081" w:rsidP="00160081">
      <w:pPr>
        <w:jc w:val="both"/>
        <w:rPr>
          <w:rFonts w:cstheme="minorHAnsi"/>
          <w:sz w:val="20"/>
          <w:szCs w:val="20"/>
        </w:rPr>
      </w:pPr>
      <w:r w:rsidRPr="00160081">
        <w:rPr>
          <w:rFonts w:cstheme="minorHAnsi"/>
          <w:sz w:val="20"/>
          <w:szCs w:val="20"/>
        </w:rPr>
        <w:t>Durante la ejecución el contratista deberá considerar lo siguiente:</w:t>
      </w:r>
    </w:p>
    <w:p w14:paraId="7D457E61"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 xml:space="preserve">El servicio de soporte y mantenimiento deberá iniciar su ejecución a partir de la primera liberación a producción de la solución tecnológica, una vez que el SRI haya aceptado formalmente dicha liberación conforme a los criterios de aceptación establecidos. </w:t>
      </w:r>
    </w:p>
    <w:p w14:paraId="6E0E416D" w14:textId="77777777" w:rsidR="00160081" w:rsidRPr="00160081" w:rsidRDefault="00160081" w:rsidP="00160081">
      <w:pPr>
        <w:pStyle w:val="Prrafodelista"/>
        <w:jc w:val="both"/>
        <w:rPr>
          <w:rFonts w:cstheme="minorHAnsi"/>
          <w:sz w:val="20"/>
          <w:szCs w:val="20"/>
        </w:rPr>
      </w:pPr>
    </w:p>
    <w:p w14:paraId="33F0EBE8"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A partir de ese momento, el contratista deberá prestar de manera continua e ininterrumpida todos los servicios de soporte técnico, mantenimiento preventivo y correctivo, atención de incidentes, monitoreo y acompañamiento operativo definidos en el presente numeral.</w:t>
      </w:r>
    </w:p>
    <w:p w14:paraId="3C97001E" w14:textId="77777777" w:rsidR="00160081" w:rsidRPr="00160081" w:rsidRDefault="00160081" w:rsidP="00160081">
      <w:pPr>
        <w:pStyle w:val="Prrafodelista"/>
        <w:jc w:val="both"/>
        <w:rPr>
          <w:rFonts w:cstheme="minorHAnsi"/>
          <w:sz w:val="20"/>
          <w:szCs w:val="20"/>
        </w:rPr>
      </w:pPr>
    </w:p>
    <w:p w14:paraId="07EC5AC4"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 xml:space="preserve">El servicio de soporte y mantenimiento se extenderá durante todas las liberaciones subsecuentes a producción, ya sea que correspondan a nuevos casos de uso, ajustes funcionales, mejoras técnicas, evoluciones de la solución o componentes adicionales incorporados conforme al mecanismo de órdenes de trabajo. </w:t>
      </w:r>
    </w:p>
    <w:p w14:paraId="1162B8D8" w14:textId="77777777" w:rsidR="00160081" w:rsidRPr="00160081" w:rsidRDefault="00160081" w:rsidP="00160081">
      <w:pPr>
        <w:pStyle w:val="Prrafodelista"/>
        <w:jc w:val="both"/>
        <w:rPr>
          <w:rFonts w:cstheme="minorHAnsi"/>
          <w:sz w:val="20"/>
          <w:szCs w:val="20"/>
        </w:rPr>
      </w:pPr>
    </w:p>
    <w:p w14:paraId="1359ED52"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Cada liberación aceptada por el SRI quedará automáticamente cubierta por el alcance del servicio de soporte y mantenimiento, sin requerir acuerdos adicionales.</w:t>
      </w:r>
    </w:p>
    <w:p w14:paraId="7BF214C3" w14:textId="77777777" w:rsidR="00160081" w:rsidRPr="00160081" w:rsidRDefault="00160081" w:rsidP="00160081">
      <w:pPr>
        <w:pStyle w:val="Prrafodelista"/>
        <w:jc w:val="both"/>
        <w:rPr>
          <w:rFonts w:cstheme="minorHAnsi"/>
          <w:sz w:val="20"/>
          <w:szCs w:val="20"/>
        </w:rPr>
      </w:pPr>
    </w:p>
    <w:p w14:paraId="111382F7"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 xml:space="preserve">El contratista deberá garantizar la prestación del servicio de soporte y mantenimiento hasta la finalización de la vigencia contractual, incluyendo los periodos de estabilización posteriores a cada liberación a producción. </w:t>
      </w:r>
    </w:p>
    <w:p w14:paraId="3493F69A" w14:textId="77777777" w:rsidR="00160081" w:rsidRPr="00160081" w:rsidRDefault="00160081" w:rsidP="00160081">
      <w:pPr>
        <w:pStyle w:val="Prrafodelista"/>
        <w:jc w:val="both"/>
        <w:rPr>
          <w:rFonts w:cstheme="minorHAnsi"/>
          <w:sz w:val="20"/>
          <w:szCs w:val="20"/>
        </w:rPr>
      </w:pPr>
    </w:p>
    <w:p w14:paraId="2B68469E"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En ningún caso la existencia de nuevas implementaciones, evoluciones, cambios de versión o ampliaciones funcionales podrá ser utilizada como justificación para suspender, limitar o degradar los niveles de servicio comprometidos, los cuales deberán mantenerse de forma homogénea y conforme a los ANS definidos durante toda la vigencia del contrato.</w:t>
      </w:r>
    </w:p>
    <w:p w14:paraId="29A7E83C" w14:textId="77777777" w:rsidR="00160081" w:rsidRPr="00160081" w:rsidRDefault="00160081" w:rsidP="00160081">
      <w:pPr>
        <w:pStyle w:val="Prrafodelista"/>
        <w:numPr>
          <w:ilvl w:val="0"/>
          <w:numId w:val="100"/>
        </w:numPr>
        <w:spacing w:after="0" w:line="240" w:lineRule="auto"/>
        <w:jc w:val="both"/>
        <w:rPr>
          <w:rFonts w:cstheme="minorHAnsi"/>
          <w:sz w:val="20"/>
          <w:szCs w:val="20"/>
        </w:rPr>
      </w:pPr>
      <w:r w:rsidRPr="00160081">
        <w:rPr>
          <w:rFonts w:cstheme="minorHAnsi"/>
          <w:sz w:val="20"/>
          <w:szCs w:val="20"/>
        </w:rPr>
        <w:t>El contratista gestionará con el fabricante las actualizaciones a la solución en cuanto estén disponibles, las cuales serán coordinadas en conjunto con el administrador del contrato y el delegado técnico del SRI, sin que esto genere costos adicionales para la entidad contratante.</w:t>
      </w:r>
    </w:p>
    <w:p w14:paraId="733E0055" w14:textId="77777777" w:rsidR="00160081" w:rsidRPr="00160081" w:rsidRDefault="00160081" w:rsidP="00160081">
      <w:pPr>
        <w:jc w:val="both"/>
        <w:rPr>
          <w:rFonts w:cstheme="minorHAnsi"/>
          <w:sz w:val="20"/>
          <w:szCs w:val="20"/>
        </w:rPr>
      </w:pPr>
    </w:p>
    <w:p w14:paraId="2C9FB18B"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89" w:name="_Toc216200102"/>
      <w:bookmarkStart w:id="90" w:name="_Toc217326221"/>
      <w:r w:rsidRPr="00160081">
        <w:rPr>
          <w:rFonts w:asciiTheme="minorHAnsi" w:eastAsia="Times New Roman" w:hAnsiTheme="minorHAnsi" w:cstheme="minorHAnsi"/>
          <w:b/>
          <w:bCs/>
          <w:color w:val="000000" w:themeColor="text1"/>
          <w:sz w:val="20"/>
          <w:szCs w:val="20"/>
        </w:rPr>
        <w:t>8.1 Alcance del Servicio de Soporte</w:t>
      </w:r>
      <w:bookmarkEnd w:id="89"/>
      <w:bookmarkEnd w:id="90"/>
    </w:p>
    <w:p w14:paraId="056AF44C" w14:textId="77777777" w:rsidR="00160081" w:rsidRPr="00160081" w:rsidRDefault="00160081" w:rsidP="00160081">
      <w:pPr>
        <w:rPr>
          <w:rFonts w:cstheme="minorHAnsi"/>
          <w:sz w:val="20"/>
          <w:szCs w:val="20"/>
        </w:rPr>
      </w:pPr>
    </w:p>
    <w:p w14:paraId="732AB011" w14:textId="77777777" w:rsidR="00160081" w:rsidRPr="00160081" w:rsidRDefault="00160081" w:rsidP="00160081">
      <w:pPr>
        <w:jc w:val="both"/>
        <w:rPr>
          <w:rFonts w:cstheme="minorHAnsi"/>
          <w:sz w:val="20"/>
          <w:szCs w:val="20"/>
        </w:rPr>
      </w:pPr>
      <w:r w:rsidRPr="00160081">
        <w:rPr>
          <w:rFonts w:cstheme="minorHAnsi"/>
          <w:sz w:val="20"/>
          <w:szCs w:val="20"/>
        </w:rPr>
        <w:t xml:space="preserve">El contratista deberá prestar un servicio de soporte técnico integral para garantizar la continuidad operativa, estabilidad y disponibilidad de la suite tecnológica integral y de todos los componentes asociados. </w:t>
      </w:r>
    </w:p>
    <w:p w14:paraId="7F7BE14B" w14:textId="77777777" w:rsidR="00160081" w:rsidRPr="00160081" w:rsidRDefault="00160081" w:rsidP="00160081">
      <w:pPr>
        <w:jc w:val="both"/>
        <w:rPr>
          <w:rFonts w:cstheme="minorHAnsi"/>
          <w:sz w:val="20"/>
          <w:szCs w:val="20"/>
        </w:rPr>
      </w:pPr>
      <w:r w:rsidRPr="00160081">
        <w:rPr>
          <w:rFonts w:cstheme="minorHAnsi"/>
          <w:sz w:val="20"/>
          <w:szCs w:val="20"/>
        </w:rPr>
        <w:t>Este servicio será obligatorio durante todo el período contractual e incluirá soporte reactivo, soporte proactivo, mantenimiento preventivo y correctivo, así como actividades de acompañamiento técnico para la resolución de incidentes y la gestión segura de actualizaciones.</w:t>
      </w:r>
    </w:p>
    <w:p w14:paraId="7527A474" w14:textId="77777777" w:rsidR="00160081" w:rsidRPr="00160081" w:rsidRDefault="00160081" w:rsidP="00160081">
      <w:pPr>
        <w:jc w:val="both"/>
        <w:rPr>
          <w:rFonts w:cstheme="minorHAnsi"/>
          <w:sz w:val="20"/>
          <w:szCs w:val="20"/>
        </w:rPr>
      </w:pPr>
      <w:r w:rsidRPr="00160081">
        <w:rPr>
          <w:rFonts w:cstheme="minorHAnsi"/>
          <w:sz w:val="20"/>
          <w:szCs w:val="20"/>
        </w:rPr>
        <w:t xml:space="preserve">El soporte deberá estar alineado con los ANS establecidos en este documento y cubrirá incidentes funcionales, técnicos, operativos, de seguridad, de integración, de rendimiento, de infraestructura relacionada con la aplicación y de continuidad operativa. </w:t>
      </w:r>
    </w:p>
    <w:p w14:paraId="13B281FE" w14:textId="77777777" w:rsidR="00160081" w:rsidRPr="00160081" w:rsidRDefault="00160081" w:rsidP="00160081">
      <w:pPr>
        <w:jc w:val="both"/>
        <w:rPr>
          <w:rFonts w:cstheme="minorHAnsi"/>
          <w:sz w:val="20"/>
          <w:szCs w:val="20"/>
        </w:rPr>
      </w:pPr>
      <w:r w:rsidRPr="00160081">
        <w:rPr>
          <w:rFonts w:cstheme="minorHAnsi"/>
          <w:sz w:val="20"/>
          <w:szCs w:val="20"/>
        </w:rPr>
        <w:t>El contratista será responsable de asegurar la trazabilidad completa de cada caso, documentar la causa raíz, registrar las acciones ejecutadas y validar la solución implementada con los equipos designados por el SRI.</w:t>
      </w:r>
    </w:p>
    <w:p w14:paraId="05F64BA8" w14:textId="77777777" w:rsidR="00160081" w:rsidRPr="00160081" w:rsidRDefault="00160081" w:rsidP="00160081">
      <w:pPr>
        <w:jc w:val="both"/>
        <w:rPr>
          <w:rFonts w:cstheme="minorHAnsi"/>
          <w:sz w:val="20"/>
          <w:szCs w:val="20"/>
        </w:rPr>
      </w:pPr>
      <w:r w:rsidRPr="00160081">
        <w:rPr>
          <w:rFonts w:cstheme="minorHAnsi"/>
          <w:sz w:val="20"/>
          <w:szCs w:val="20"/>
        </w:rPr>
        <w:t>El servicio deberá incluir, como mínimo, las siguientes obligaciones:</w:t>
      </w:r>
    </w:p>
    <w:p w14:paraId="111BE1CE"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Mantener un canal único de soporte disponible 24x7 para que el personal responsable del SRI realice el registro y seguimiento de incidentes, solicitudes técnicas y requerimientos asociados al servicio.</w:t>
      </w:r>
    </w:p>
    <w:p w14:paraId="75B25A06"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Brindar soporte en niveles L1, L2 y L3, según el tipo de solicitud de servicio, garantizando escalamiento automático y trazabilidad completa.</w:t>
      </w:r>
    </w:p>
    <w:p w14:paraId="56348F3D"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Garantizar tiempos de respuesta y atención conforme los ANS definidos, independientemente del origen, hora o naturaleza del incidente.</w:t>
      </w:r>
    </w:p>
    <w:p w14:paraId="39680920"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Monitorear proactivamente la disponibilidad, salud, rendimiento, integraciones y estabilidad de la suite, generando alertas tempranas y tomando acciones de mitigación antes de que ocurran fallos críticos.</w:t>
      </w:r>
    </w:p>
    <w:p w14:paraId="6732F507"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Ejecutar mantenimiento preventivo de manera periódica, incluyendo limpieza de componentes temporales, optimización de índices, revisión de configuraciones de seguridad y ajustes de rendimiento.</w:t>
      </w:r>
    </w:p>
    <w:p w14:paraId="28EEF6AB"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Ejecutar mantenimiento correctivo ante fallas operativas, vulnerabilidades, degradaciones de rendimiento o errores técnicos, sin costo adicional para el SRI.</w:t>
      </w:r>
    </w:p>
    <w:p w14:paraId="7279D1E3"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 xml:space="preserve">Proveer parches, </w:t>
      </w:r>
      <w:proofErr w:type="spellStart"/>
      <w:r w:rsidRPr="00160081">
        <w:rPr>
          <w:rFonts w:cstheme="minorHAnsi"/>
          <w:sz w:val="20"/>
          <w:szCs w:val="20"/>
        </w:rPr>
        <w:t>hotfixes</w:t>
      </w:r>
      <w:proofErr w:type="spellEnd"/>
      <w:r w:rsidRPr="00160081">
        <w:rPr>
          <w:rFonts w:cstheme="minorHAnsi"/>
          <w:sz w:val="20"/>
          <w:szCs w:val="20"/>
        </w:rPr>
        <w:t xml:space="preserve"> y actualizaciones menores del fabricante cuando sean necesarias para garantizar funcionamiento estable, seguridad y continuidad.</w:t>
      </w:r>
    </w:p>
    <w:p w14:paraId="4675F484"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Gestionar actualizaciones mayores de la suite previa validación del SRI, incluyendo pruebas de compatibilidad, regresión y aprobación formal antes de su despliegue en producción.</w:t>
      </w:r>
    </w:p>
    <w:p w14:paraId="363239F4"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Acompañar técnicamente al SRI durante la resolución de incidentes que involucren integraciones con otros sistemas institucionales.</w:t>
      </w:r>
    </w:p>
    <w:p w14:paraId="3FE622DA"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 xml:space="preserve">Registrar y documentar cada incidente en un sistema de gestión de </w:t>
      </w:r>
      <w:bookmarkStart w:id="91" w:name="OLE_LINK32"/>
      <w:proofErr w:type="gramStart"/>
      <w:r w:rsidRPr="00160081">
        <w:rPr>
          <w:rFonts w:cstheme="minorHAnsi"/>
          <w:sz w:val="20"/>
          <w:szCs w:val="20"/>
        </w:rPr>
        <w:t>ticket</w:t>
      </w:r>
      <w:bookmarkEnd w:id="91"/>
      <w:r w:rsidRPr="00160081">
        <w:rPr>
          <w:rFonts w:cstheme="minorHAnsi"/>
          <w:sz w:val="20"/>
          <w:szCs w:val="20"/>
        </w:rPr>
        <w:t>s</w:t>
      </w:r>
      <w:proofErr w:type="gramEnd"/>
      <w:r w:rsidRPr="00160081">
        <w:rPr>
          <w:rFonts w:cstheme="minorHAnsi"/>
          <w:sz w:val="20"/>
          <w:szCs w:val="20"/>
        </w:rPr>
        <w:t>, con historial completo y evidencias técnicas.</w:t>
      </w:r>
    </w:p>
    <w:p w14:paraId="7AD3DD88"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Realizar análisis de causa raíz ante incidentes recurrentes, incidentes mayores o problemas de estabilidad.</w:t>
      </w:r>
    </w:p>
    <w:p w14:paraId="2CE6B088"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Entregar informes mensuales de soporte o cuando sea requerido por el administrador, incluyendo indicadores de niveles de servicio, incidentes atendidos, incidentes abiertos, tiempo promedio de resolución, problemas recurrentes e historial de cambios.</w:t>
      </w:r>
    </w:p>
    <w:p w14:paraId="290F0A47"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Mantener personal técnico certificado en los componentes tecnológicos de la suite, disponible para la atención en horarios críticos.</w:t>
      </w:r>
    </w:p>
    <w:p w14:paraId="410A1A76" w14:textId="77777777" w:rsidR="00160081" w:rsidRPr="00160081" w:rsidRDefault="00160081" w:rsidP="00160081">
      <w:pPr>
        <w:numPr>
          <w:ilvl w:val="0"/>
          <w:numId w:val="66"/>
        </w:numPr>
        <w:spacing w:after="0" w:line="240" w:lineRule="auto"/>
        <w:jc w:val="both"/>
        <w:rPr>
          <w:rFonts w:cstheme="minorHAnsi"/>
          <w:sz w:val="20"/>
          <w:szCs w:val="20"/>
        </w:rPr>
      </w:pPr>
      <w:r w:rsidRPr="00160081">
        <w:rPr>
          <w:rFonts w:cstheme="minorHAnsi"/>
          <w:sz w:val="20"/>
          <w:szCs w:val="20"/>
        </w:rPr>
        <w:t xml:space="preserve">Especificar el personal técnico y </w:t>
      </w:r>
      <w:proofErr w:type="spellStart"/>
      <w:proofErr w:type="gramStart"/>
      <w:r w:rsidRPr="00160081">
        <w:rPr>
          <w:rFonts w:cstheme="minorHAnsi"/>
          <w:sz w:val="20"/>
          <w:szCs w:val="20"/>
        </w:rPr>
        <w:t>skill</w:t>
      </w:r>
      <w:proofErr w:type="spellEnd"/>
      <w:proofErr w:type="gramEnd"/>
      <w:r w:rsidRPr="00160081">
        <w:rPr>
          <w:rFonts w:cstheme="minorHAnsi"/>
          <w:sz w:val="20"/>
          <w:szCs w:val="20"/>
        </w:rPr>
        <w:t xml:space="preserve"> necesario.</w:t>
      </w:r>
    </w:p>
    <w:p w14:paraId="3BA60473" w14:textId="77777777" w:rsidR="00160081" w:rsidRPr="00160081" w:rsidRDefault="00160081" w:rsidP="00160081">
      <w:pPr>
        <w:rPr>
          <w:rFonts w:cstheme="minorHAnsi"/>
          <w:sz w:val="20"/>
          <w:szCs w:val="20"/>
        </w:rPr>
      </w:pPr>
    </w:p>
    <w:p w14:paraId="6B05729C" w14:textId="77777777" w:rsidR="00160081" w:rsidRPr="00160081" w:rsidRDefault="00160081" w:rsidP="00160081">
      <w:pPr>
        <w:rPr>
          <w:rFonts w:cstheme="minorHAnsi"/>
          <w:sz w:val="20"/>
          <w:szCs w:val="20"/>
        </w:rPr>
      </w:pPr>
      <w:r w:rsidRPr="00160081">
        <w:rPr>
          <w:rFonts w:cstheme="minorHAnsi"/>
          <w:sz w:val="20"/>
          <w:szCs w:val="20"/>
        </w:rPr>
        <w:t>Los niveles de soporte se brindarán conforme a lo siguiente:</w:t>
      </w:r>
    </w:p>
    <w:p w14:paraId="4B0ACBC6" w14:textId="77777777" w:rsidR="00160081" w:rsidRPr="00160081" w:rsidRDefault="00160081" w:rsidP="00160081">
      <w:pPr>
        <w:rPr>
          <w:rFonts w:cstheme="minorHAnsi"/>
          <w:sz w:val="20"/>
          <w:szCs w:val="20"/>
        </w:rPr>
      </w:pPr>
    </w:p>
    <w:tbl>
      <w:tblPr>
        <w:tblW w:w="99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2917"/>
        <w:gridCol w:w="3261"/>
        <w:gridCol w:w="1417"/>
        <w:gridCol w:w="1416"/>
      </w:tblGrid>
      <w:tr w:rsidR="00160081" w:rsidRPr="00160081" w14:paraId="3F0EBD49" w14:textId="77777777" w:rsidTr="00616507">
        <w:trPr>
          <w:trHeight w:val="20"/>
          <w:jc w:val="center"/>
        </w:trPr>
        <w:tc>
          <w:tcPr>
            <w:tcW w:w="0" w:type="auto"/>
            <w:vAlign w:val="center"/>
            <w:hideMark/>
          </w:tcPr>
          <w:p w14:paraId="7838439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Nivel de soporte</w:t>
            </w:r>
          </w:p>
        </w:tc>
        <w:tc>
          <w:tcPr>
            <w:tcW w:w="2917" w:type="dxa"/>
            <w:vAlign w:val="center"/>
            <w:hideMark/>
          </w:tcPr>
          <w:p w14:paraId="21850D4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 del nivel</w:t>
            </w:r>
          </w:p>
        </w:tc>
        <w:tc>
          <w:tcPr>
            <w:tcW w:w="3261" w:type="dxa"/>
            <w:vAlign w:val="center"/>
            <w:hideMark/>
          </w:tcPr>
          <w:p w14:paraId="085C5E74"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Tipo de incidentes cubiertos</w:t>
            </w:r>
          </w:p>
        </w:tc>
        <w:tc>
          <w:tcPr>
            <w:tcW w:w="1417" w:type="dxa"/>
            <w:vAlign w:val="center"/>
            <w:hideMark/>
          </w:tcPr>
          <w:p w14:paraId="5AA037F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Tiempo máximo de respuesta</w:t>
            </w:r>
          </w:p>
        </w:tc>
        <w:tc>
          <w:tcPr>
            <w:tcW w:w="0" w:type="auto"/>
            <w:vAlign w:val="center"/>
            <w:hideMark/>
          </w:tcPr>
          <w:p w14:paraId="4F8F1468"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Tiempo de atención</w:t>
            </w:r>
          </w:p>
        </w:tc>
      </w:tr>
      <w:tr w:rsidR="00160081" w:rsidRPr="00160081" w14:paraId="514396B2" w14:textId="77777777" w:rsidTr="00616507">
        <w:trPr>
          <w:trHeight w:val="20"/>
          <w:jc w:val="center"/>
        </w:trPr>
        <w:tc>
          <w:tcPr>
            <w:tcW w:w="0" w:type="auto"/>
            <w:vAlign w:val="center"/>
          </w:tcPr>
          <w:p w14:paraId="33807BC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1 (L1)</w:t>
            </w:r>
          </w:p>
        </w:tc>
        <w:tc>
          <w:tcPr>
            <w:tcW w:w="2917" w:type="dxa"/>
            <w:vAlign w:val="center"/>
          </w:tcPr>
          <w:p w14:paraId="6318539B" w14:textId="77777777" w:rsidR="00160081" w:rsidRPr="00160081" w:rsidRDefault="00160081" w:rsidP="00BD3D91">
            <w:pPr>
              <w:rPr>
                <w:rFonts w:cstheme="minorHAnsi"/>
                <w:color w:val="000000"/>
                <w:sz w:val="20"/>
                <w:szCs w:val="20"/>
              </w:rPr>
            </w:pPr>
            <w:r w:rsidRPr="00160081">
              <w:rPr>
                <w:rFonts w:cstheme="minorHAnsi"/>
                <w:color w:val="000000"/>
                <w:sz w:val="20"/>
                <w:szCs w:val="20"/>
              </w:rPr>
              <w:t>Punto inicial de contacto. Registro, categorización, verificación preliminar, recolección de datos y ejecución de acciones básicas.</w:t>
            </w:r>
          </w:p>
        </w:tc>
        <w:tc>
          <w:tcPr>
            <w:tcW w:w="3261" w:type="dxa"/>
            <w:vAlign w:val="center"/>
          </w:tcPr>
          <w:p w14:paraId="374C5FDD"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Incidentes de uso, consultas operativas, fallas menores sin impacto en producción.</w:t>
            </w:r>
          </w:p>
        </w:tc>
        <w:tc>
          <w:tcPr>
            <w:tcW w:w="1417" w:type="dxa"/>
            <w:vAlign w:val="center"/>
          </w:tcPr>
          <w:p w14:paraId="0806731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30 minutos</w:t>
            </w:r>
          </w:p>
        </w:tc>
        <w:tc>
          <w:tcPr>
            <w:tcW w:w="0" w:type="auto"/>
            <w:vAlign w:val="center"/>
          </w:tcPr>
          <w:p w14:paraId="7A7ABA2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4 horas</w:t>
            </w:r>
          </w:p>
        </w:tc>
      </w:tr>
      <w:tr w:rsidR="00160081" w:rsidRPr="00160081" w14:paraId="7062F6C1" w14:textId="77777777" w:rsidTr="00616507">
        <w:trPr>
          <w:trHeight w:val="20"/>
          <w:jc w:val="center"/>
        </w:trPr>
        <w:tc>
          <w:tcPr>
            <w:tcW w:w="0" w:type="auto"/>
            <w:vAlign w:val="center"/>
            <w:hideMark/>
          </w:tcPr>
          <w:p w14:paraId="28F91DA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2 (L2)</w:t>
            </w:r>
          </w:p>
        </w:tc>
        <w:tc>
          <w:tcPr>
            <w:tcW w:w="2917" w:type="dxa"/>
            <w:vAlign w:val="center"/>
            <w:hideMark/>
          </w:tcPr>
          <w:p w14:paraId="77F46F14" w14:textId="77777777" w:rsidR="00160081" w:rsidRPr="00160081" w:rsidRDefault="00160081" w:rsidP="00BD3D91">
            <w:pPr>
              <w:rPr>
                <w:rFonts w:cstheme="minorHAnsi"/>
                <w:color w:val="000000"/>
                <w:sz w:val="20"/>
                <w:szCs w:val="20"/>
              </w:rPr>
            </w:pPr>
            <w:r w:rsidRPr="00160081">
              <w:rPr>
                <w:rFonts w:cstheme="minorHAnsi"/>
                <w:color w:val="000000"/>
                <w:sz w:val="20"/>
                <w:szCs w:val="20"/>
              </w:rPr>
              <w:t>Atención técnica especializada. Incluye análisis funcional y técnico, ejecución de correcciones no intrusivas y soporte avanzado.</w:t>
            </w:r>
          </w:p>
        </w:tc>
        <w:tc>
          <w:tcPr>
            <w:tcW w:w="3261" w:type="dxa"/>
            <w:vAlign w:val="center"/>
            <w:hideMark/>
          </w:tcPr>
          <w:p w14:paraId="77564E6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Fallas funcionales en BPMS, BRMS, ECM o </w:t>
            </w:r>
            <w:proofErr w:type="gramStart"/>
            <w:r w:rsidRPr="00160081">
              <w:rPr>
                <w:rFonts w:cstheme="minorHAnsi"/>
                <w:color w:val="000000"/>
                <w:sz w:val="20"/>
                <w:szCs w:val="20"/>
              </w:rPr>
              <w:t>SGRT;  Sistema</w:t>
            </w:r>
            <w:proofErr w:type="gramEnd"/>
            <w:r w:rsidRPr="00160081">
              <w:rPr>
                <w:rFonts w:cstheme="minorHAnsi"/>
                <w:color w:val="000000"/>
                <w:sz w:val="20"/>
                <w:szCs w:val="20"/>
              </w:rPr>
              <w:t xml:space="preserve"> de Gestión Riesgos Tributarios errores en reglas o procesos; fallas en integraciones; degradación de rendimiento moderada.</w:t>
            </w:r>
          </w:p>
        </w:tc>
        <w:tc>
          <w:tcPr>
            <w:tcW w:w="1417" w:type="dxa"/>
            <w:vAlign w:val="center"/>
            <w:hideMark/>
          </w:tcPr>
          <w:p w14:paraId="450B5E5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30 minutos</w:t>
            </w:r>
          </w:p>
        </w:tc>
        <w:tc>
          <w:tcPr>
            <w:tcW w:w="0" w:type="auto"/>
            <w:vAlign w:val="center"/>
            <w:hideMark/>
          </w:tcPr>
          <w:p w14:paraId="602E6EF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2 horas (mitigación) y ≤ 8 horas (resolución definitiva)</w:t>
            </w:r>
          </w:p>
        </w:tc>
      </w:tr>
      <w:tr w:rsidR="00160081" w:rsidRPr="00160081" w14:paraId="2B1421B0" w14:textId="77777777" w:rsidTr="00616507">
        <w:trPr>
          <w:trHeight w:val="20"/>
          <w:jc w:val="center"/>
        </w:trPr>
        <w:tc>
          <w:tcPr>
            <w:tcW w:w="0" w:type="auto"/>
            <w:vAlign w:val="center"/>
            <w:hideMark/>
          </w:tcPr>
          <w:p w14:paraId="1FA136D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3 (L3)</w:t>
            </w:r>
          </w:p>
        </w:tc>
        <w:tc>
          <w:tcPr>
            <w:tcW w:w="2917" w:type="dxa"/>
            <w:vAlign w:val="center"/>
            <w:hideMark/>
          </w:tcPr>
          <w:p w14:paraId="06C178C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Soporte experto del contratista y/o fabricante. Diagnóstico profundo, correcciones de código, parches, </w:t>
            </w:r>
            <w:proofErr w:type="spellStart"/>
            <w:r w:rsidRPr="00160081">
              <w:rPr>
                <w:rFonts w:cstheme="minorHAnsi"/>
                <w:color w:val="000000"/>
                <w:sz w:val="20"/>
                <w:szCs w:val="20"/>
              </w:rPr>
              <w:t>hotfixes</w:t>
            </w:r>
            <w:proofErr w:type="spellEnd"/>
            <w:r w:rsidRPr="00160081">
              <w:rPr>
                <w:rFonts w:cstheme="minorHAnsi"/>
                <w:color w:val="000000"/>
                <w:sz w:val="20"/>
                <w:szCs w:val="20"/>
              </w:rPr>
              <w:t>, configuración avanzada y atención de fallos críticos.</w:t>
            </w:r>
          </w:p>
        </w:tc>
        <w:tc>
          <w:tcPr>
            <w:tcW w:w="3261" w:type="dxa"/>
            <w:vAlign w:val="center"/>
            <w:hideMark/>
          </w:tcPr>
          <w:p w14:paraId="474407C5" w14:textId="77777777" w:rsidR="00160081" w:rsidRPr="00160081" w:rsidRDefault="00160081" w:rsidP="00BD3D91">
            <w:pPr>
              <w:rPr>
                <w:rFonts w:cstheme="minorHAnsi"/>
                <w:color w:val="000000"/>
                <w:sz w:val="20"/>
                <w:szCs w:val="20"/>
              </w:rPr>
            </w:pPr>
            <w:r w:rsidRPr="00160081">
              <w:rPr>
                <w:rFonts w:cstheme="minorHAnsi"/>
                <w:color w:val="000000"/>
                <w:sz w:val="20"/>
                <w:szCs w:val="20"/>
              </w:rPr>
              <w:t>Caídas totales o parciales de la suite; pérdida de disponibilidad; corrupción de artefactos; incidentes de seguridad; fallas graves de integración; degradación severa.</w:t>
            </w:r>
          </w:p>
        </w:tc>
        <w:tc>
          <w:tcPr>
            <w:tcW w:w="1417" w:type="dxa"/>
            <w:vAlign w:val="center"/>
            <w:hideMark/>
          </w:tcPr>
          <w:p w14:paraId="17EAEC5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15 minutos</w:t>
            </w:r>
          </w:p>
        </w:tc>
        <w:tc>
          <w:tcPr>
            <w:tcW w:w="0" w:type="auto"/>
            <w:vAlign w:val="center"/>
            <w:hideMark/>
          </w:tcPr>
          <w:p w14:paraId="2A7A2618" w14:textId="77777777" w:rsidR="00160081" w:rsidRPr="00160081" w:rsidRDefault="00160081" w:rsidP="00BD3D91">
            <w:pPr>
              <w:jc w:val="center"/>
              <w:rPr>
                <w:rFonts w:cstheme="minorHAnsi"/>
                <w:color w:val="000000"/>
                <w:sz w:val="20"/>
                <w:szCs w:val="20"/>
              </w:rPr>
            </w:pPr>
            <w:bookmarkStart w:id="92" w:name="OLE_LINK90"/>
            <w:bookmarkStart w:id="93" w:name="OLE_LINK91"/>
            <w:r w:rsidRPr="00160081">
              <w:rPr>
                <w:rFonts w:cstheme="minorHAnsi"/>
                <w:color w:val="000000"/>
                <w:sz w:val="20"/>
                <w:szCs w:val="20"/>
              </w:rPr>
              <w:t>≤ 4 horas (mitigación) y ≤ 24 horas (resolución definitiva</w:t>
            </w:r>
            <w:bookmarkEnd w:id="92"/>
            <w:r w:rsidRPr="00160081">
              <w:rPr>
                <w:rFonts w:cstheme="minorHAnsi"/>
                <w:color w:val="000000"/>
                <w:sz w:val="20"/>
                <w:szCs w:val="20"/>
              </w:rPr>
              <w:t>)</w:t>
            </w:r>
            <w:bookmarkEnd w:id="93"/>
          </w:p>
        </w:tc>
      </w:tr>
    </w:tbl>
    <w:p w14:paraId="3E5D34E7" w14:textId="77777777" w:rsidR="00160081" w:rsidRPr="00160081" w:rsidRDefault="00160081" w:rsidP="00160081">
      <w:pPr>
        <w:rPr>
          <w:rFonts w:cstheme="minorHAnsi"/>
          <w:sz w:val="20"/>
          <w:szCs w:val="20"/>
        </w:rPr>
      </w:pPr>
    </w:p>
    <w:p w14:paraId="18C36533"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94" w:name="_Toc216200103"/>
      <w:bookmarkStart w:id="95" w:name="_Toc217326222"/>
    </w:p>
    <w:p w14:paraId="1B0E22DB"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r w:rsidRPr="00160081">
        <w:rPr>
          <w:rFonts w:asciiTheme="minorHAnsi" w:eastAsia="Times New Roman" w:hAnsiTheme="minorHAnsi" w:cstheme="minorHAnsi"/>
          <w:b/>
          <w:bCs/>
          <w:color w:val="000000" w:themeColor="text1"/>
          <w:sz w:val="20"/>
          <w:szCs w:val="20"/>
        </w:rPr>
        <w:t>8.2 Mantenimiento Preventivo</w:t>
      </w:r>
      <w:bookmarkEnd w:id="94"/>
      <w:bookmarkEnd w:id="95"/>
    </w:p>
    <w:p w14:paraId="085BF06C" w14:textId="77777777" w:rsidR="00160081" w:rsidRPr="00160081" w:rsidRDefault="00160081" w:rsidP="00160081">
      <w:pPr>
        <w:rPr>
          <w:rFonts w:cstheme="minorHAnsi"/>
          <w:sz w:val="20"/>
          <w:szCs w:val="20"/>
        </w:rPr>
      </w:pPr>
    </w:p>
    <w:p w14:paraId="4A230FF0" w14:textId="77777777" w:rsidR="00160081" w:rsidRPr="00160081" w:rsidRDefault="00160081" w:rsidP="00160081">
      <w:pPr>
        <w:rPr>
          <w:rFonts w:cstheme="minorHAnsi"/>
          <w:sz w:val="20"/>
          <w:szCs w:val="20"/>
        </w:rPr>
      </w:pPr>
      <w:r w:rsidRPr="00160081">
        <w:rPr>
          <w:rFonts w:cstheme="minorHAnsi"/>
          <w:sz w:val="20"/>
          <w:szCs w:val="20"/>
        </w:rPr>
        <w:t>El contratista será responsable de ejecutar de manera proactiva todas las actividades de mantenimiento preventivo establecidas en esta sección, así como aquellas recomendadas por el fabricante de todos los componentes de la suite.</w:t>
      </w:r>
    </w:p>
    <w:p w14:paraId="03CB4DD2" w14:textId="77777777" w:rsidR="00160081" w:rsidRPr="00160081" w:rsidRDefault="00160081" w:rsidP="00160081">
      <w:pPr>
        <w:jc w:val="both"/>
        <w:rPr>
          <w:rFonts w:cstheme="minorHAnsi"/>
          <w:sz w:val="20"/>
          <w:szCs w:val="20"/>
        </w:rPr>
      </w:pPr>
      <w:r w:rsidRPr="00160081">
        <w:rPr>
          <w:rFonts w:cstheme="minorHAnsi"/>
          <w:sz w:val="20"/>
          <w:szCs w:val="20"/>
        </w:rPr>
        <w:t>El contratista será responsable de garantizar que todas las actividades de mantenimiento preventivo sean compatibles con las ventanas de operación críticas del SRI, deban notificarse con al menos 72 horas de anticipación y que se ejecuten en ventanas preaprobadas, minimizando impacto en ambientes productivos.</w:t>
      </w:r>
    </w:p>
    <w:p w14:paraId="0FFEAEA2" w14:textId="77777777" w:rsidR="00160081" w:rsidRPr="00160081" w:rsidRDefault="00160081" w:rsidP="00160081">
      <w:pPr>
        <w:jc w:val="both"/>
        <w:rPr>
          <w:rFonts w:cstheme="minorHAnsi"/>
          <w:sz w:val="20"/>
          <w:szCs w:val="20"/>
        </w:rPr>
      </w:pPr>
      <w:r w:rsidRPr="00160081">
        <w:rPr>
          <w:rFonts w:cstheme="minorHAnsi"/>
          <w:sz w:val="20"/>
          <w:szCs w:val="20"/>
        </w:rPr>
        <w:t>El contratista deberá, como mínimo:</w:t>
      </w:r>
    </w:p>
    <w:p w14:paraId="5F01F64D"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 xml:space="preserve">Diseñar, documentar y ejecutar un </w:t>
      </w:r>
      <w:bookmarkStart w:id="96" w:name="OLE_LINK45"/>
      <w:r w:rsidRPr="00160081">
        <w:rPr>
          <w:rFonts w:cstheme="minorHAnsi"/>
          <w:sz w:val="20"/>
          <w:szCs w:val="20"/>
        </w:rPr>
        <w:t>programa formal de mantenimiento preventivo</w:t>
      </w:r>
      <w:bookmarkEnd w:id="96"/>
      <w:r w:rsidRPr="00160081">
        <w:rPr>
          <w:rFonts w:cstheme="minorHAnsi"/>
          <w:sz w:val="20"/>
          <w:szCs w:val="20"/>
        </w:rPr>
        <w:t>, alineado con mejores prácticas de la industria, que contemple verificación periódica de rendimiento, seguridad, integridad de datos, uso de recursos, capacidad y estabilidad de los servicios.</w:t>
      </w:r>
    </w:p>
    <w:p w14:paraId="6952E22E"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 xml:space="preserve">Aplicar parches, </w:t>
      </w:r>
      <w:proofErr w:type="spellStart"/>
      <w:r w:rsidRPr="00160081">
        <w:rPr>
          <w:rFonts w:cstheme="minorHAnsi"/>
          <w:sz w:val="20"/>
          <w:szCs w:val="20"/>
        </w:rPr>
        <w:t>hotfixes</w:t>
      </w:r>
      <w:proofErr w:type="spellEnd"/>
      <w:r w:rsidRPr="00160081">
        <w:rPr>
          <w:rFonts w:cstheme="minorHAnsi"/>
          <w:sz w:val="20"/>
          <w:szCs w:val="20"/>
        </w:rPr>
        <w:t xml:space="preserve"> y actualizaciones menores de manera preventiva (no reactiva), evaluando previamente su impacto en ambientes controlados, asegurando compatibilidad con el resto de la suite y documentando cualquier cambio aplicado.</w:t>
      </w:r>
    </w:p>
    <w:p w14:paraId="2BBBE25E"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Monitorear de manera proactiva riesgos técnicos, entre otros: capacidad, saturación, cuellos de botella, degradación de rendimiento, errores recurrentes, fallas en conectores, expiración de certificados y aplicar acciones correctivas antes de que se materialicen incidentes.</w:t>
      </w:r>
    </w:p>
    <w:p w14:paraId="61E7F9F3"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Ejecutar inspecciones técnicas periódicas sobre todos los componentes, entre ellos: BPMS, BRMS, SGRT, repositorios ECM, módulos de integración, bases de datos vinculadas, conectores, servicios API, mecanismos de mensajería, y servicios, que formen parte de la solución.</w:t>
      </w:r>
    </w:p>
    <w:p w14:paraId="1B6CDC43" w14:textId="77777777" w:rsidR="00160081" w:rsidRPr="00160081" w:rsidRDefault="00160081" w:rsidP="00160081">
      <w:pPr>
        <w:numPr>
          <w:ilvl w:val="0"/>
          <w:numId w:val="68"/>
        </w:numPr>
        <w:spacing w:after="0" w:line="240" w:lineRule="auto"/>
        <w:rPr>
          <w:rFonts w:cstheme="minorHAnsi"/>
          <w:sz w:val="20"/>
          <w:szCs w:val="20"/>
        </w:rPr>
      </w:pPr>
      <w:r w:rsidRPr="00160081">
        <w:rPr>
          <w:rFonts w:cstheme="minorHAnsi"/>
          <w:sz w:val="20"/>
          <w:szCs w:val="20"/>
        </w:rPr>
        <w:t>Validar integridad de la configuración asegurando que:</w:t>
      </w:r>
    </w:p>
    <w:p w14:paraId="3A4AA8EB" w14:textId="77777777" w:rsidR="00160081" w:rsidRPr="00160081" w:rsidRDefault="00160081" w:rsidP="00160081">
      <w:pPr>
        <w:numPr>
          <w:ilvl w:val="1"/>
          <w:numId w:val="67"/>
        </w:numPr>
        <w:spacing w:after="0" w:line="240" w:lineRule="auto"/>
        <w:jc w:val="both"/>
        <w:rPr>
          <w:rFonts w:cstheme="minorHAnsi"/>
          <w:sz w:val="20"/>
          <w:szCs w:val="20"/>
        </w:rPr>
      </w:pPr>
      <w:r w:rsidRPr="00160081">
        <w:rPr>
          <w:rFonts w:cstheme="minorHAnsi"/>
          <w:sz w:val="20"/>
          <w:szCs w:val="20"/>
        </w:rPr>
        <w:t>no existan desviaciones respecto de la configuración aprobada por el SRI,</w:t>
      </w:r>
    </w:p>
    <w:p w14:paraId="5D3F0A26" w14:textId="77777777" w:rsidR="00160081" w:rsidRPr="00160081" w:rsidRDefault="00160081" w:rsidP="00160081">
      <w:pPr>
        <w:numPr>
          <w:ilvl w:val="1"/>
          <w:numId w:val="67"/>
        </w:numPr>
        <w:spacing w:after="0" w:line="240" w:lineRule="auto"/>
        <w:jc w:val="both"/>
        <w:rPr>
          <w:rFonts w:cstheme="minorHAnsi"/>
          <w:sz w:val="20"/>
          <w:szCs w:val="20"/>
        </w:rPr>
      </w:pPr>
      <w:r w:rsidRPr="00160081">
        <w:rPr>
          <w:rFonts w:cstheme="minorHAnsi"/>
          <w:sz w:val="20"/>
          <w:szCs w:val="20"/>
        </w:rPr>
        <w:t>las configuraciones cumplan lineamientos de seguridad,</w:t>
      </w:r>
    </w:p>
    <w:p w14:paraId="56753848" w14:textId="77777777" w:rsidR="00160081" w:rsidRPr="00160081" w:rsidRDefault="00160081" w:rsidP="00160081">
      <w:pPr>
        <w:numPr>
          <w:ilvl w:val="1"/>
          <w:numId w:val="67"/>
        </w:numPr>
        <w:spacing w:after="0" w:line="240" w:lineRule="auto"/>
        <w:jc w:val="both"/>
        <w:rPr>
          <w:rFonts w:cstheme="minorHAnsi"/>
          <w:sz w:val="20"/>
          <w:szCs w:val="20"/>
        </w:rPr>
      </w:pPr>
      <w:r w:rsidRPr="00160081">
        <w:rPr>
          <w:rFonts w:cstheme="minorHAnsi"/>
          <w:sz w:val="20"/>
          <w:szCs w:val="20"/>
        </w:rPr>
        <w:t>se identifiquen cambios no autorizados o inconsistencias entre ambientes.</w:t>
      </w:r>
    </w:p>
    <w:p w14:paraId="69FD123F"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Verificar el estado de la suscripción para mantenimiento y soporte, debiendo alertar al SRI con mínimo 60 días de anticipación sobre, vencimientos o ajustes necesarios.</w:t>
      </w:r>
    </w:p>
    <w:p w14:paraId="2CB1F0E6"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Revisar periódicamente el estado de almacenamiento en ECM, logs, artefactos, BPMS, BRMS, SGRT y bases de datos, identificando riesgos de saturación y proponiendo acciones preventivas.</w:t>
      </w:r>
    </w:p>
    <w:p w14:paraId="4173849E"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Realizar pruebas periódicas de rendimiento y estabilidad para validar que la solución cumple los SLA comprometidos.</w:t>
      </w:r>
    </w:p>
    <w:p w14:paraId="07B36BCE" w14:textId="77777777" w:rsidR="00160081" w:rsidRPr="00160081" w:rsidRDefault="00160081" w:rsidP="00160081">
      <w:pPr>
        <w:numPr>
          <w:ilvl w:val="0"/>
          <w:numId w:val="68"/>
        </w:numPr>
        <w:spacing w:after="0" w:line="240" w:lineRule="auto"/>
        <w:jc w:val="both"/>
        <w:rPr>
          <w:rFonts w:cstheme="minorHAnsi"/>
          <w:sz w:val="20"/>
          <w:szCs w:val="20"/>
        </w:rPr>
      </w:pPr>
      <w:r w:rsidRPr="00160081">
        <w:rPr>
          <w:rFonts w:cstheme="minorHAnsi"/>
          <w:sz w:val="20"/>
          <w:szCs w:val="20"/>
        </w:rPr>
        <w:t>Documentar todas las actividades preventivas y entregar un informe detallado al SRI dentro de las 48 horas posteriores a su ejecución.</w:t>
      </w:r>
    </w:p>
    <w:p w14:paraId="093B7F7A" w14:textId="77777777" w:rsidR="00160081" w:rsidRPr="00160081" w:rsidRDefault="00160081" w:rsidP="00160081">
      <w:pPr>
        <w:rPr>
          <w:rFonts w:cstheme="minorHAnsi"/>
          <w:sz w:val="20"/>
          <w:szCs w:val="20"/>
        </w:rPr>
      </w:pPr>
    </w:p>
    <w:p w14:paraId="4A96234B" w14:textId="5F1EFC4F" w:rsidR="00160081" w:rsidRPr="00160081" w:rsidRDefault="00160081" w:rsidP="00160081">
      <w:pPr>
        <w:jc w:val="both"/>
        <w:rPr>
          <w:rFonts w:cstheme="minorHAnsi"/>
          <w:sz w:val="20"/>
          <w:szCs w:val="20"/>
        </w:rPr>
      </w:pPr>
      <w:r w:rsidRPr="00160081">
        <w:rPr>
          <w:rFonts w:cstheme="minorHAnsi"/>
          <w:sz w:val="20"/>
          <w:szCs w:val="20"/>
        </w:rPr>
        <w:t xml:space="preserve">Las </w:t>
      </w:r>
      <w:r w:rsidR="00616507" w:rsidRPr="00160081">
        <w:rPr>
          <w:rFonts w:cstheme="minorHAnsi"/>
          <w:sz w:val="20"/>
          <w:szCs w:val="20"/>
          <w:lang w:val="es-ES"/>
        </w:rPr>
        <w:t>actividades</w:t>
      </w:r>
      <w:r w:rsidRPr="00160081">
        <w:rPr>
          <w:rFonts w:cstheme="minorHAnsi"/>
          <w:sz w:val="20"/>
          <w:szCs w:val="20"/>
          <w:lang w:val="es-ES"/>
        </w:rPr>
        <w:t xml:space="preserve"> de mantenimiento preventivo</w:t>
      </w:r>
      <w:r w:rsidRPr="00160081">
        <w:rPr>
          <w:rFonts w:cstheme="minorHAnsi"/>
          <w:sz w:val="20"/>
          <w:szCs w:val="20"/>
        </w:rPr>
        <w:t xml:space="preserve"> que deberá ejecutar el contratista son las siguientes:</w:t>
      </w:r>
    </w:p>
    <w:p w14:paraId="7CD4C205" w14:textId="77777777" w:rsidR="00160081" w:rsidRDefault="00160081" w:rsidP="00160081">
      <w:pPr>
        <w:rPr>
          <w:rFonts w:cstheme="minorHAnsi"/>
          <w:sz w:val="20"/>
          <w:szCs w:val="20"/>
        </w:rPr>
      </w:pPr>
    </w:p>
    <w:p w14:paraId="35845329" w14:textId="77777777" w:rsidR="00616507" w:rsidRPr="00160081" w:rsidRDefault="00616507" w:rsidP="00160081">
      <w:pPr>
        <w:rPr>
          <w:rFonts w:cstheme="minorHAnsi"/>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4"/>
        <w:gridCol w:w="1254"/>
        <w:gridCol w:w="4360"/>
      </w:tblGrid>
      <w:tr w:rsidR="00160081" w:rsidRPr="00160081" w14:paraId="49DA6024" w14:textId="77777777" w:rsidTr="00BD3D91">
        <w:trPr>
          <w:trHeight w:val="445"/>
          <w:jc w:val="center"/>
        </w:trPr>
        <w:tc>
          <w:tcPr>
            <w:tcW w:w="0" w:type="auto"/>
            <w:vAlign w:val="center"/>
            <w:hideMark/>
          </w:tcPr>
          <w:p w14:paraId="0924287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Actividad</w:t>
            </w:r>
          </w:p>
        </w:tc>
        <w:tc>
          <w:tcPr>
            <w:tcW w:w="0" w:type="auto"/>
            <w:vAlign w:val="center"/>
            <w:hideMark/>
          </w:tcPr>
          <w:p w14:paraId="4B3201D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 xml:space="preserve">Periodicidad </w:t>
            </w:r>
          </w:p>
        </w:tc>
        <w:tc>
          <w:tcPr>
            <w:tcW w:w="0" w:type="auto"/>
            <w:vAlign w:val="center"/>
            <w:hideMark/>
          </w:tcPr>
          <w:p w14:paraId="587CE14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r>
      <w:tr w:rsidR="00160081" w:rsidRPr="00160081" w14:paraId="76112AF6" w14:textId="77777777" w:rsidTr="00BD3D91">
        <w:trPr>
          <w:trHeight w:val="756"/>
          <w:jc w:val="center"/>
        </w:trPr>
        <w:tc>
          <w:tcPr>
            <w:tcW w:w="0" w:type="auto"/>
            <w:vAlign w:val="center"/>
            <w:hideMark/>
          </w:tcPr>
          <w:p w14:paraId="59A723A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Inspección de salud del sistema </w:t>
            </w:r>
          </w:p>
        </w:tc>
        <w:tc>
          <w:tcPr>
            <w:tcW w:w="0" w:type="auto"/>
            <w:vAlign w:val="center"/>
            <w:hideMark/>
          </w:tcPr>
          <w:p w14:paraId="7C0F06E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Mensual</w:t>
            </w:r>
          </w:p>
        </w:tc>
        <w:tc>
          <w:tcPr>
            <w:tcW w:w="0" w:type="auto"/>
            <w:vAlign w:val="center"/>
            <w:hideMark/>
          </w:tcPr>
          <w:p w14:paraId="6788617F" w14:textId="77777777" w:rsidR="00160081" w:rsidRPr="00160081" w:rsidRDefault="00160081" w:rsidP="00BD3D91">
            <w:pPr>
              <w:rPr>
                <w:rFonts w:cstheme="minorHAnsi"/>
                <w:color w:val="000000"/>
                <w:sz w:val="20"/>
                <w:szCs w:val="20"/>
              </w:rPr>
            </w:pPr>
            <w:r w:rsidRPr="00160081">
              <w:rPr>
                <w:rFonts w:cstheme="minorHAnsi"/>
                <w:color w:val="000000"/>
                <w:sz w:val="20"/>
                <w:szCs w:val="20"/>
              </w:rPr>
              <w:t>Evaluación integral de disponibilidad, rendimiento, uso de CPU, RAM, IOPS, latencias, tiempos de respuesta, errores recurrentes y cuellos de botella. Entregar informe con hallazgos y acciones recomendadas.</w:t>
            </w:r>
          </w:p>
        </w:tc>
      </w:tr>
      <w:tr w:rsidR="00160081" w:rsidRPr="00160081" w14:paraId="35189D9F" w14:textId="77777777" w:rsidTr="00BD3D91">
        <w:trPr>
          <w:trHeight w:val="696"/>
          <w:jc w:val="center"/>
        </w:trPr>
        <w:tc>
          <w:tcPr>
            <w:tcW w:w="0" w:type="auto"/>
            <w:vAlign w:val="center"/>
            <w:hideMark/>
          </w:tcPr>
          <w:p w14:paraId="0BAA19CE"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Revisión preventiva de seguridad</w:t>
            </w:r>
          </w:p>
        </w:tc>
        <w:tc>
          <w:tcPr>
            <w:tcW w:w="0" w:type="auto"/>
            <w:vAlign w:val="center"/>
            <w:hideMark/>
          </w:tcPr>
          <w:p w14:paraId="17AC9FD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Mensual</w:t>
            </w:r>
          </w:p>
        </w:tc>
        <w:tc>
          <w:tcPr>
            <w:tcW w:w="0" w:type="auto"/>
            <w:vAlign w:val="center"/>
            <w:hideMark/>
          </w:tcPr>
          <w:p w14:paraId="547C06AA" w14:textId="77777777" w:rsidR="00160081" w:rsidRPr="00160081" w:rsidRDefault="00160081" w:rsidP="00BD3D91">
            <w:pPr>
              <w:rPr>
                <w:rFonts w:cstheme="minorHAnsi"/>
                <w:color w:val="000000"/>
                <w:sz w:val="20"/>
                <w:szCs w:val="20"/>
              </w:rPr>
            </w:pPr>
            <w:r w:rsidRPr="00160081">
              <w:rPr>
                <w:rFonts w:cstheme="minorHAnsi"/>
                <w:color w:val="000000"/>
                <w:sz w:val="20"/>
                <w:szCs w:val="20"/>
              </w:rPr>
              <w:t>Validación de parches, análisis de vulnerabilidades, expiración de certificados, integridad de políticas de acceso, revisión de auditoría y verificación de cumplimiento de políticas del SRI.</w:t>
            </w:r>
          </w:p>
        </w:tc>
      </w:tr>
      <w:tr w:rsidR="00160081" w:rsidRPr="00160081" w14:paraId="5C154F9C" w14:textId="77777777" w:rsidTr="00BD3D91">
        <w:trPr>
          <w:trHeight w:val="692"/>
          <w:jc w:val="center"/>
        </w:trPr>
        <w:tc>
          <w:tcPr>
            <w:tcW w:w="0" w:type="auto"/>
            <w:vAlign w:val="center"/>
            <w:hideMark/>
          </w:tcPr>
          <w:p w14:paraId="0C63ABE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Actualización preventiva de parches y </w:t>
            </w:r>
            <w:proofErr w:type="spellStart"/>
            <w:r w:rsidRPr="00160081">
              <w:rPr>
                <w:rFonts w:cstheme="minorHAnsi"/>
                <w:color w:val="000000"/>
                <w:sz w:val="20"/>
                <w:szCs w:val="20"/>
              </w:rPr>
              <w:t>hotfixes</w:t>
            </w:r>
            <w:proofErr w:type="spellEnd"/>
          </w:p>
        </w:tc>
        <w:tc>
          <w:tcPr>
            <w:tcW w:w="0" w:type="auto"/>
            <w:vAlign w:val="center"/>
            <w:hideMark/>
          </w:tcPr>
          <w:p w14:paraId="66C5F61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Trimestral</w:t>
            </w:r>
          </w:p>
        </w:tc>
        <w:tc>
          <w:tcPr>
            <w:tcW w:w="0" w:type="auto"/>
            <w:vAlign w:val="center"/>
            <w:hideMark/>
          </w:tcPr>
          <w:p w14:paraId="537F776C"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Instalación de actualizaciones menores o parches críticos recomendados por el fabricante, previa validación en ambientes controlados.</w:t>
            </w:r>
          </w:p>
        </w:tc>
      </w:tr>
      <w:tr w:rsidR="00160081" w:rsidRPr="00160081" w14:paraId="2CB61609" w14:textId="77777777" w:rsidTr="00BD3D91">
        <w:trPr>
          <w:trHeight w:val="539"/>
          <w:jc w:val="center"/>
        </w:trPr>
        <w:tc>
          <w:tcPr>
            <w:tcW w:w="0" w:type="auto"/>
            <w:vAlign w:val="center"/>
            <w:hideMark/>
          </w:tcPr>
          <w:p w14:paraId="389C0AA9" w14:textId="77777777" w:rsidR="00160081" w:rsidRPr="00160081" w:rsidRDefault="00160081" w:rsidP="00BD3D91">
            <w:pPr>
              <w:rPr>
                <w:rFonts w:cstheme="minorHAnsi"/>
                <w:color w:val="000000"/>
                <w:sz w:val="20"/>
                <w:szCs w:val="20"/>
              </w:rPr>
            </w:pPr>
            <w:r w:rsidRPr="00160081">
              <w:rPr>
                <w:rFonts w:cstheme="minorHAnsi"/>
                <w:color w:val="000000"/>
                <w:sz w:val="20"/>
                <w:szCs w:val="20"/>
              </w:rPr>
              <w:t>Optimización y mantenimiento de base de datos/documental</w:t>
            </w:r>
          </w:p>
        </w:tc>
        <w:tc>
          <w:tcPr>
            <w:tcW w:w="0" w:type="auto"/>
            <w:vAlign w:val="center"/>
            <w:hideMark/>
          </w:tcPr>
          <w:p w14:paraId="5551B9F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Mensual</w:t>
            </w:r>
          </w:p>
        </w:tc>
        <w:tc>
          <w:tcPr>
            <w:tcW w:w="0" w:type="auto"/>
            <w:vAlign w:val="center"/>
            <w:hideMark/>
          </w:tcPr>
          <w:p w14:paraId="3B57A733"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Revisión de índices, fragmentación, retención documental, políticas de almacenamiento, limpieza de logs antiguos y validación de respaldos.</w:t>
            </w:r>
          </w:p>
        </w:tc>
      </w:tr>
      <w:tr w:rsidR="00160081" w:rsidRPr="00160081" w14:paraId="6857D963" w14:textId="77777777" w:rsidTr="00BD3D91">
        <w:trPr>
          <w:trHeight w:val="132"/>
          <w:jc w:val="center"/>
        </w:trPr>
        <w:tc>
          <w:tcPr>
            <w:tcW w:w="0" w:type="auto"/>
            <w:vAlign w:val="center"/>
            <w:hideMark/>
          </w:tcPr>
          <w:p w14:paraId="60782E2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Revisión del modelo de integración </w:t>
            </w:r>
          </w:p>
        </w:tc>
        <w:tc>
          <w:tcPr>
            <w:tcW w:w="0" w:type="auto"/>
            <w:vAlign w:val="center"/>
            <w:hideMark/>
          </w:tcPr>
          <w:p w14:paraId="7D90B5E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Trimestral</w:t>
            </w:r>
          </w:p>
        </w:tc>
        <w:tc>
          <w:tcPr>
            <w:tcW w:w="0" w:type="auto"/>
            <w:vAlign w:val="center"/>
            <w:hideMark/>
          </w:tcPr>
          <w:p w14:paraId="339EA620" w14:textId="77777777" w:rsidR="00160081" w:rsidRPr="00160081" w:rsidRDefault="00160081" w:rsidP="00BD3D91">
            <w:pPr>
              <w:rPr>
                <w:rFonts w:cstheme="minorHAnsi"/>
                <w:color w:val="000000"/>
                <w:sz w:val="20"/>
                <w:szCs w:val="20"/>
              </w:rPr>
            </w:pPr>
            <w:r w:rsidRPr="00160081">
              <w:rPr>
                <w:rFonts w:cstheme="minorHAnsi"/>
                <w:color w:val="000000"/>
                <w:sz w:val="20"/>
                <w:szCs w:val="20"/>
              </w:rPr>
              <w:t>Validar conexiones, tiempos de respuesta, errores de integración, uso de colas, reintentos y fallos silenciosos.</w:t>
            </w:r>
          </w:p>
        </w:tc>
      </w:tr>
      <w:tr w:rsidR="00160081" w:rsidRPr="00160081" w14:paraId="02D22F72" w14:textId="77777777" w:rsidTr="00BD3D91">
        <w:trPr>
          <w:trHeight w:val="454"/>
          <w:jc w:val="center"/>
        </w:trPr>
        <w:tc>
          <w:tcPr>
            <w:tcW w:w="0" w:type="auto"/>
            <w:vAlign w:val="center"/>
            <w:hideMark/>
          </w:tcPr>
          <w:p w14:paraId="0D3B9AE9"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Pruebas de rendimiento preventivas</w:t>
            </w:r>
          </w:p>
        </w:tc>
        <w:tc>
          <w:tcPr>
            <w:tcW w:w="0" w:type="auto"/>
            <w:vAlign w:val="center"/>
            <w:hideMark/>
          </w:tcPr>
          <w:p w14:paraId="42B29E5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Trimestral</w:t>
            </w:r>
          </w:p>
        </w:tc>
        <w:tc>
          <w:tcPr>
            <w:tcW w:w="0" w:type="auto"/>
            <w:vAlign w:val="center"/>
            <w:hideMark/>
          </w:tcPr>
          <w:p w14:paraId="5971EE5C"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de pruebas sobre carga controlada para validar cumplimiento de SLA (&lt;2s/5s, BPMS/BRMS/SGRT en sus métricas específicas).</w:t>
            </w:r>
          </w:p>
        </w:tc>
      </w:tr>
      <w:tr w:rsidR="00160081" w:rsidRPr="00160081" w14:paraId="355060EB" w14:textId="77777777" w:rsidTr="00BD3D91">
        <w:trPr>
          <w:trHeight w:val="454"/>
          <w:jc w:val="center"/>
        </w:trPr>
        <w:tc>
          <w:tcPr>
            <w:tcW w:w="0" w:type="auto"/>
            <w:vAlign w:val="center"/>
            <w:hideMark/>
          </w:tcPr>
          <w:p w14:paraId="5472CABB" w14:textId="77777777" w:rsidR="00160081" w:rsidRPr="00160081" w:rsidRDefault="00160081" w:rsidP="00BD3D91">
            <w:pPr>
              <w:rPr>
                <w:rFonts w:cstheme="minorHAnsi"/>
                <w:color w:val="000000"/>
                <w:sz w:val="20"/>
                <w:szCs w:val="20"/>
              </w:rPr>
            </w:pPr>
            <w:r w:rsidRPr="00160081">
              <w:rPr>
                <w:rFonts w:cstheme="minorHAnsi"/>
                <w:color w:val="000000"/>
                <w:sz w:val="20"/>
                <w:szCs w:val="20"/>
              </w:rPr>
              <w:t>Validación del plan de capacidad</w:t>
            </w:r>
          </w:p>
        </w:tc>
        <w:tc>
          <w:tcPr>
            <w:tcW w:w="0" w:type="auto"/>
            <w:vAlign w:val="center"/>
            <w:hideMark/>
          </w:tcPr>
          <w:p w14:paraId="52D8491E"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Semestral</w:t>
            </w:r>
          </w:p>
        </w:tc>
        <w:tc>
          <w:tcPr>
            <w:tcW w:w="0" w:type="auto"/>
            <w:vAlign w:val="center"/>
            <w:hideMark/>
          </w:tcPr>
          <w:p w14:paraId="4E79E4EE"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Proyección de crecimiento, uso de almacenamiento, expansión de procesos, carga concurrente y recomendaciones de escalamiento.</w:t>
            </w:r>
          </w:p>
        </w:tc>
      </w:tr>
      <w:tr w:rsidR="00160081" w:rsidRPr="00160081" w14:paraId="5CD42012" w14:textId="77777777" w:rsidTr="00BD3D91">
        <w:trPr>
          <w:trHeight w:val="419"/>
          <w:jc w:val="center"/>
        </w:trPr>
        <w:tc>
          <w:tcPr>
            <w:tcW w:w="0" w:type="auto"/>
            <w:vAlign w:val="center"/>
            <w:hideMark/>
          </w:tcPr>
          <w:p w14:paraId="67A2E4C5"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Revisión de logs estructurados y eventos relevantes</w:t>
            </w:r>
          </w:p>
        </w:tc>
        <w:tc>
          <w:tcPr>
            <w:tcW w:w="0" w:type="auto"/>
            <w:vAlign w:val="center"/>
            <w:hideMark/>
          </w:tcPr>
          <w:p w14:paraId="6F2F4BC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Semanal</w:t>
            </w:r>
          </w:p>
        </w:tc>
        <w:tc>
          <w:tcPr>
            <w:tcW w:w="0" w:type="auto"/>
            <w:vAlign w:val="center"/>
            <w:hideMark/>
          </w:tcPr>
          <w:p w14:paraId="047A246D" w14:textId="77777777" w:rsidR="00160081" w:rsidRPr="00160081" w:rsidRDefault="00160081" w:rsidP="00BD3D91">
            <w:pPr>
              <w:rPr>
                <w:rFonts w:cstheme="minorHAnsi"/>
                <w:color w:val="000000"/>
                <w:sz w:val="20"/>
                <w:szCs w:val="20"/>
              </w:rPr>
            </w:pPr>
            <w:r w:rsidRPr="00160081">
              <w:rPr>
                <w:rFonts w:cstheme="minorHAnsi"/>
                <w:color w:val="000000"/>
                <w:sz w:val="20"/>
                <w:szCs w:val="20"/>
              </w:rPr>
              <w:t>Identificación de anomalías, fallos repetitivos, errores silenciosos y eventos de seguridad.</w:t>
            </w:r>
          </w:p>
        </w:tc>
      </w:tr>
      <w:tr w:rsidR="00160081" w:rsidRPr="00160081" w14:paraId="3E3456F8" w14:textId="77777777" w:rsidTr="00BD3D91">
        <w:trPr>
          <w:trHeight w:val="421"/>
          <w:jc w:val="center"/>
        </w:trPr>
        <w:tc>
          <w:tcPr>
            <w:tcW w:w="0" w:type="auto"/>
            <w:vAlign w:val="center"/>
            <w:hideMark/>
          </w:tcPr>
          <w:p w14:paraId="50DF2E67" w14:textId="77777777" w:rsidR="00160081" w:rsidRPr="00160081" w:rsidRDefault="00160081" w:rsidP="00BD3D91">
            <w:pPr>
              <w:rPr>
                <w:rFonts w:cstheme="minorHAnsi"/>
                <w:color w:val="000000"/>
                <w:sz w:val="20"/>
                <w:szCs w:val="20"/>
              </w:rPr>
            </w:pPr>
            <w:r w:rsidRPr="00160081">
              <w:rPr>
                <w:rFonts w:cstheme="minorHAnsi"/>
                <w:color w:val="000000"/>
                <w:sz w:val="20"/>
                <w:szCs w:val="20"/>
              </w:rPr>
              <w:t>Verificación de licencias y componentes activos</w:t>
            </w:r>
          </w:p>
        </w:tc>
        <w:tc>
          <w:tcPr>
            <w:tcW w:w="0" w:type="auto"/>
            <w:vAlign w:val="center"/>
            <w:hideMark/>
          </w:tcPr>
          <w:p w14:paraId="1D03F36C"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Trimestral</w:t>
            </w:r>
          </w:p>
        </w:tc>
        <w:tc>
          <w:tcPr>
            <w:tcW w:w="0" w:type="auto"/>
            <w:vAlign w:val="center"/>
            <w:hideMark/>
          </w:tcPr>
          <w:p w14:paraId="3B9E2D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Confirmación del estado de licenciamiento, expiraciones y cumplimiento contractual.</w:t>
            </w:r>
          </w:p>
        </w:tc>
      </w:tr>
    </w:tbl>
    <w:p w14:paraId="78F947D9" w14:textId="77777777" w:rsidR="00160081" w:rsidRPr="00160081" w:rsidRDefault="00160081" w:rsidP="00160081">
      <w:pPr>
        <w:rPr>
          <w:rFonts w:cstheme="minorHAnsi"/>
          <w:sz w:val="20"/>
          <w:szCs w:val="20"/>
        </w:rPr>
      </w:pPr>
    </w:p>
    <w:p w14:paraId="0E465548" w14:textId="77777777" w:rsidR="00160081" w:rsidRPr="00160081" w:rsidRDefault="00160081" w:rsidP="00160081">
      <w:pPr>
        <w:rPr>
          <w:rFonts w:cstheme="minorHAnsi"/>
          <w:sz w:val="20"/>
          <w:szCs w:val="20"/>
        </w:rPr>
      </w:pPr>
    </w:p>
    <w:p w14:paraId="3B4271F7"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97" w:name="_Toc216200104"/>
      <w:bookmarkStart w:id="98" w:name="_Toc217326223"/>
      <w:r w:rsidRPr="00160081">
        <w:rPr>
          <w:rFonts w:asciiTheme="minorHAnsi" w:eastAsia="Times New Roman" w:hAnsiTheme="minorHAnsi" w:cstheme="minorHAnsi"/>
          <w:b/>
          <w:bCs/>
          <w:color w:val="000000" w:themeColor="text1"/>
          <w:sz w:val="20"/>
          <w:szCs w:val="20"/>
        </w:rPr>
        <w:t>8.3 Mantenimiento Correctivo</w:t>
      </w:r>
      <w:bookmarkEnd w:id="97"/>
      <w:bookmarkEnd w:id="98"/>
    </w:p>
    <w:p w14:paraId="7F1ADD27" w14:textId="77777777" w:rsidR="00160081" w:rsidRPr="00160081" w:rsidRDefault="00160081" w:rsidP="00160081">
      <w:pPr>
        <w:rPr>
          <w:rFonts w:cstheme="minorHAnsi"/>
          <w:sz w:val="20"/>
          <w:szCs w:val="20"/>
        </w:rPr>
      </w:pPr>
    </w:p>
    <w:p w14:paraId="44A32BDC" w14:textId="77777777" w:rsidR="00160081" w:rsidRPr="00160081" w:rsidRDefault="00160081" w:rsidP="00160081">
      <w:pPr>
        <w:jc w:val="both"/>
        <w:rPr>
          <w:rFonts w:cstheme="minorHAnsi"/>
          <w:sz w:val="20"/>
          <w:szCs w:val="20"/>
        </w:rPr>
      </w:pPr>
      <w:r w:rsidRPr="00160081">
        <w:rPr>
          <w:rFonts w:cstheme="minorHAnsi"/>
          <w:sz w:val="20"/>
          <w:szCs w:val="20"/>
        </w:rPr>
        <w:t xml:space="preserve">El mantenimiento correctivo comprende todas las actividades orientadas a restaurar la operación normal de la suite, así como de sus componentes complementarios, ante fallas, errores, incidentes o degradaciones que afecten la disponibilidad, rendimiento, seguridad o funcionalidad de la solución. </w:t>
      </w:r>
    </w:p>
    <w:p w14:paraId="38F2AC07" w14:textId="77777777" w:rsidR="00160081" w:rsidRPr="00160081" w:rsidRDefault="00160081" w:rsidP="00160081">
      <w:pPr>
        <w:jc w:val="both"/>
        <w:rPr>
          <w:rFonts w:cstheme="minorHAnsi"/>
          <w:sz w:val="20"/>
          <w:szCs w:val="20"/>
        </w:rPr>
      </w:pPr>
      <w:r w:rsidRPr="00160081">
        <w:rPr>
          <w:rFonts w:cstheme="minorHAnsi"/>
          <w:sz w:val="20"/>
          <w:szCs w:val="20"/>
        </w:rPr>
        <w:t>El contratista será responsable de ejecutar acciones correctivas dentro de los tiempos y condiciones establecidos contractualmente, garantizando la continuidad operativa del servicio y evitando recurrencia de fallas.</w:t>
      </w:r>
    </w:p>
    <w:p w14:paraId="3291DE1F" w14:textId="77777777" w:rsidR="00160081" w:rsidRPr="00160081" w:rsidRDefault="00160081" w:rsidP="00160081">
      <w:pPr>
        <w:jc w:val="both"/>
        <w:rPr>
          <w:rFonts w:cstheme="minorHAnsi"/>
          <w:sz w:val="20"/>
          <w:szCs w:val="20"/>
        </w:rPr>
      </w:pPr>
      <w:r w:rsidRPr="00160081">
        <w:rPr>
          <w:rFonts w:cstheme="minorHAnsi"/>
          <w:sz w:val="20"/>
          <w:szCs w:val="20"/>
        </w:rPr>
        <w:t xml:space="preserve">El contratista deberá asumir la gestión integral del mantenimiento correctivo, incluyendo diagnóstico, corrección, documentación, parcheo, pruebas posteriores y prevención de reincidencias. </w:t>
      </w:r>
    </w:p>
    <w:p w14:paraId="0CF8D30F" w14:textId="77777777" w:rsidR="00160081" w:rsidRPr="00160081" w:rsidRDefault="00160081" w:rsidP="00160081">
      <w:pPr>
        <w:jc w:val="both"/>
        <w:rPr>
          <w:rFonts w:cstheme="minorHAnsi"/>
          <w:sz w:val="20"/>
          <w:szCs w:val="20"/>
        </w:rPr>
      </w:pPr>
      <w:r w:rsidRPr="00160081">
        <w:rPr>
          <w:rFonts w:cstheme="minorHAnsi"/>
          <w:sz w:val="20"/>
          <w:szCs w:val="20"/>
        </w:rPr>
        <w:t>Ningún incidente será considerado cerrado hasta que exista conformidad del SRI respecto de la resolución y se haya verificado la inexistencia de impactos colaterales en otros módulos o artefactos.</w:t>
      </w:r>
    </w:p>
    <w:p w14:paraId="75AF41C9" w14:textId="77777777" w:rsidR="00160081" w:rsidRPr="00160081" w:rsidRDefault="00160081" w:rsidP="00160081">
      <w:pPr>
        <w:rPr>
          <w:rFonts w:cstheme="minorHAnsi"/>
          <w:sz w:val="20"/>
          <w:szCs w:val="20"/>
        </w:rPr>
      </w:pPr>
      <w:r w:rsidRPr="00160081">
        <w:rPr>
          <w:rFonts w:cstheme="minorHAnsi"/>
          <w:sz w:val="20"/>
          <w:szCs w:val="20"/>
        </w:rPr>
        <w:t>El contratista estará obligado a:</w:t>
      </w:r>
    </w:p>
    <w:p w14:paraId="2991A137" w14:textId="77777777" w:rsidR="00160081" w:rsidRPr="00160081" w:rsidRDefault="00160081" w:rsidP="00160081">
      <w:pPr>
        <w:numPr>
          <w:ilvl w:val="0"/>
          <w:numId w:val="69"/>
        </w:numPr>
        <w:spacing w:after="0" w:line="240" w:lineRule="auto"/>
        <w:rPr>
          <w:rFonts w:cstheme="minorHAnsi"/>
          <w:sz w:val="20"/>
          <w:szCs w:val="20"/>
        </w:rPr>
      </w:pPr>
      <w:r w:rsidRPr="00160081">
        <w:rPr>
          <w:rFonts w:cstheme="minorHAnsi"/>
          <w:sz w:val="20"/>
          <w:szCs w:val="20"/>
        </w:rPr>
        <w:t>Mantener un mecanismo formal de registro de incidentes mediante una mesa de servicio accesible 24x7, integrado con el sistema de soporte del SRI.</w:t>
      </w:r>
    </w:p>
    <w:p w14:paraId="52E27460" w14:textId="77777777" w:rsidR="00160081" w:rsidRPr="00160081" w:rsidRDefault="00160081" w:rsidP="00160081">
      <w:pPr>
        <w:numPr>
          <w:ilvl w:val="0"/>
          <w:numId w:val="69"/>
        </w:numPr>
        <w:spacing w:after="0" w:line="240" w:lineRule="auto"/>
        <w:rPr>
          <w:rFonts w:cstheme="minorHAnsi"/>
          <w:sz w:val="20"/>
          <w:szCs w:val="20"/>
        </w:rPr>
      </w:pPr>
      <w:r w:rsidRPr="00160081">
        <w:rPr>
          <w:rFonts w:cstheme="minorHAnsi"/>
          <w:sz w:val="20"/>
          <w:szCs w:val="20"/>
        </w:rPr>
        <w:t>Clasificar los incidentes conforme a la matriz de severidad, impacto y urgencia definida contractualmente.</w:t>
      </w:r>
    </w:p>
    <w:p w14:paraId="549765F5" w14:textId="77777777" w:rsidR="00160081" w:rsidRPr="00160081" w:rsidRDefault="00160081" w:rsidP="00160081">
      <w:pPr>
        <w:numPr>
          <w:ilvl w:val="0"/>
          <w:numId w:val="69"/>
        </w:numPr>
        <w:spacing w:after="0" w:line="240" w:lineRule="auto"/>
        <w:rPr>
          <w:rFonts w:cstheme="minorHAnsi"/>
          <w:sz w:val="20"/>
          <w:szCs w:val="20"/>
        </w:rPr>
      </w:pPr>
      <w:r w:rsidRPr="00160081">
        <w:rPr>
          <w:rFonts w:cstheme="minorHAnsi"/>
          <w:sz w:val="20"/>
          <w:szCs w:val="20"/>
        </w:rPr>
        <w:t>Confirmar la recepción del incidente dentro del tiempo de respuesta establecido para el nivel correspondiente.</w:t>
      </w:r>
    </w:p>
    <w:p w14:paraId="4F2F5519" w14:textId="77777777" w:rsidR="00160081" w:rsidRPr="00160081" w:rsidRDefault="00160081" w:rsidP="00160081">
      <w:pPr>
        <w:numPr>
          <w:ilvl w:val="0"/>
          <w:numId w:val="70"/>
        </w:numPr>
        <w:spacing w:after="0" w:line="240" w:lineRule="auto"/>
        <w:rPr>
          <w:rFonts w:cstheme="minorHAnsi"/>
          <w:sz w:val="20"/>
          <w:szCs w:val="20"/>
        </w:rPr>
      </w:pPr>
      <w:r w:rsidRPr="00160081">
        <w:rPr>
          <w:rFonts w:cstheme="minorHAnsi"/>
          <w:sz w:val="20"/>
          <w:szCs w:val="20"/>
        </w:rPr>
        <w:t xml:space="preserve">Realizar diagnóstico inmediato sobre la causa del incidente, determinando si se origina en: errores del software; fallas de configuración; fallas de integración; defectos de parametrización; vulnerabilidades o problemas de seguridad; documentación técnica incompleta o </w:t>
      </w:r>
      <w:proofErr w:type="spellStart"/>
      <w:proofErr w:type="gramStart"/>
      <w:r w:rsidRPr="00160081">
        <w:rPr>
          <w:rFonts w:cstheme="minorHAnsi"/>
          <w:sz w:val="20"/>
          <w:szCs w:val="20"/>
        </w:rPr>
        <w:t>incorrecta;o</w:t>
      </w:r>
      <w:proofErr w:type="spellEnd"/>
      <w:proofErr w:type="gramEnd"/>
      <w:r w:rsidRPr="00160081">
        <w:rPr>
          <w:rFonts w:cstheme="minorHAnsi"/>
          <w:sz w:val="20"/>
          <w:szCs w:val="20"/>
        </w:rPr>
        <w:t xml:space="preserve"> bien regresiones introducidas por versiones previas.</w:t>
      </w:r>
    </w:p>
    <w:p w14:paraId="65E08BE7" w14:textId="77777777" w:rsidR="00160081" w:rsidRPr="00160081" w:rsidRDefault="00160081" w:rsidP="00160081">
      <w:pPr>
        <w:numPr>
          <w:ilvl w:val="0"/>
          <w:numId w:val="71"/>
        </w:numPr>
        <w:spacing w:after="0" w:line="240" w:lineRule="auto"/>
        <w:rPr>
          <w:rFonts w:cstheme="minorHAnsi"/>
          <w:sz w:val="20"/>
          <w:szCs w:val="20"/>
        </w:rPr>
      </w:pPr>
      <w:r w:rsidRPr="00160081">
        <w:rPr>
          <w:rFonts w:cstheme="minorHAnsi"/>
          <w:sz w:val="20"/>
          <w:szCs w:val="20"/>
        </w:rPr>
        <w:t>Implementar acciones definitivas de corrección dentro del tiempo máximo de resolución según el nivel de severidad.</w:t>
      </w:r>
    </w:p>
    <w:p w14:paraId="7264055E" w14:textId="77777777" w:rsidR="00160081" w:rsidRPr="00160081" w:rsidRDefault="00160081" w:rsidP="00160081">
      <w:pPr>
        <w:numPr>
          <w:ilvl w:val="0"/>
          <w:numId w:val="71"/>
        </w:numPr>
        <w:spacing w:after="0" w:line="240" w:lineRule="auto"/>
        <w:rPr>
          <w:rFonts w:cstheme="minorHAnsi"/>
          <w:sz w:val="20"/>
          <w:szCs w:val="20"/>
        </w:rPr>
      </w:pPr>
      <w:r w:rsidRPr="00160081">
        <w:rPr>
          <w:rFonts w:cstheme="minorHAnsi"/>
          <w:sz w:val="20"/>
          <w:szCs w:val="20"/>
        </w:rPr>
        <w:t xml:space="preserve">Aplicar parches, </w:t>
      </w:r>
      <w:proofErr w:type="spellStart"/>
      <w:r w:rsidRPr="00160081">
        <w:rPr>
          <w:rFonts w:cstheme="minorHAnsi"/>
          <w:sz w:val="20"/>
          <w:szCs w:val="20"/>
        </w:rPr>
        <w:t>hotfixes</w:t>
      </w:r>
      <w:proofErr w:type="spellEnd"/>
      <w:r w:rsidRPr="00160081">
        <w:rPr>
          <w:rFonts w:cstheme="minorHAnsi"/>
          <w:sz w:val="20"/>
          <w:szCs w:val="20"/>
        </w:rPr>
        <w:t>, configuraciones y ajustes necesarios sin requerir rediseños mayores ni costos adicionales para el SRI.</w:t>
      </w:r>
    </w:p>
    <w:p w14:paraId="022EC8EF" w14:textId="77777777" w:rsidR="00160081" w:rsidRPr="00160081" w:rsidRDefault="00160081" w:rsidP="00160081">
      <w:pPr>
        <w:numPr>
          <w:ilvl w:val="0"/>
          <w:numId w:val="71"/>
        </w:numPr>
        <w:spacing w:after="0" w:line="240" w:lineRule="auto"/>
        <w:rPr>
          <w:rFonts w:cstheme="minorHAnsi"/>
          <w:sz w:val="20"/>
          <w:szCs w:val="20"/>
        </w:rPr>
      </w:pPr>
      <w:r w:rsidRPr="00160081">
        <w:rPr>
          <w:rFonts w:cstheme="minorHAnsi"/>
          <w:sz w:val="20"/>
          <w:szCs w:val="20"/>
        </w:rPr>
        <w:t>Garantizar que la corrección no introduzca regresiones ni afecte artefactos existentes.</w:t>
      </w:r>
    </w:p>
    <w:p w14:paraId="57DF2DF2" w14:textId="77777777" w:rsidR="00160081" w:rsidRPr="00160081" w:rsidRDefault="00160081" w:rsidP="00160081">
      <w:pPr>
        <w:numPr>
          <w:ilvl w:val="0"/>
          <w:numId w:val="72"/>
        </w:numPr>
        <w:spacing w:after="0" w:line="240" w:lineRule="auto"/>
        <w:rPr>
          <w:rFonts w:cstheme="minorHAnsi"/>
          <w:sz w:val="20"/>
          <w:szCs w:val="20"/>
        </w:rPr>
      </w:pPr>
      <w:r w:rsidRPr="00160081">
        <w:rPr>
          <w:rFonts w:cstheme="minorHAnsi"/>
          <w:sz w:val="20"/>
          <w:szCs w:val="20"/>
        </w:rPr>
        <w:t>Ejecutar pruebas unitarias, integrales y regresivas antes de devolver el componente a operación.</w:t>
      </w:r>
    </w:p>
    <w:p w14:paraId="27F294CE" w14:textId="77777777" w:rsidR="00160081" w:rsidRPr="00160081" w:rsidRDefault="00160081" w:rsidP="00160081">
      <w:pPr>
        <w:numPr>
          <w:ilvl w:val="0"/>
          <w:numId w:val="72"/>
        </w:numPr>
        <w:spacing w:after="0" w:line="240" w:lineRule="auto"/>
        <w:rPr>
          <w:rFonts w:cstheme="minorHAnsi"/>
          <w:sz w:val="20"/>
          <w:szCs w:val="20"/>
        </w:rPr>
      </w:pPr>
      <w:r w:rsidRPr="00160081">
        <w:rPr>
          <w:rFonts w:cstheme="minorHAnsi"/>
          <w:sz w:val="20"/>
          <w:szCs w:val="20"/>
        </w:rPr>
        <w:t>Coordinar con el SRI pruebas de verificación en ambientes controlados cuando el incidente lo requiera.</w:t>
      </w:r>
    </w:p>
    <w:p w14:paraId="20435EEE" w14:textId="77777777" w:rsidR="00160081" w:rsidRPr="00160081" w:rsidRDefault="00160081" w:rsidP="00160081">
      <w:pPr>
        <w:numPr>
          <w:ilvl w:val="0"/>
          <w:numId w:val="72"/>
        </w:numPr>
        <w:spacing w:after="0" w:line="240" w:lineRule="auto"/>
        <w:rPr>
          <w:rFonts w:cstheme="minorHAnsi"/>
          <w:sz w:val="20"/>
          <w:szCs w:val="20"/>
        </w:rPr>
      </w:pPr>
      <w:r w:rsidRPr="00160081">
        <w:rPr>
          <w:rFonts w:cstheme="minorHAnsi"/>
          <w:sz w:val="20"/>
          <w:szCs w:val="20"/>
        </w:rPr>
        <w:t>Presentar evidencia de pruebas y resultados como condición obligatoria para el cierre del incidente.</w:t>
      </w:r>
    </w:p>
    <w:p w14:paraId="539D9DDC" w14:textId="77777777" w:rsidR="00160081" w:rsidRPr="00160081" w:rsidRDefault="00160081" w:rsidP="00160081">
      <w:pPr>
        <w:numPr>
          <w:ilvl w:val="0"/>
          <w:numId w:val="73"/>
        </w:numPr>
        <w:spacing w:after="0" w:line="240" w:lineRule="auto"/>
        <w:rPr>
          <w:rFonts w:cstheme="minorHAnsi"/>
          <w:sz w:val="20"/>
          <w:szCs w:val="20"/>
        </w:rPr>
      </w:pPr>
      <w:r w:rsidRPr="00160081">
        <w:rPr>
          <w:rFonts w:cstheme="minorHAnsi"/>
          <w:sz w:val="20"/>
          <w:szCs w:val="20"/>
        </w:rPr>
        <w:t>Documentar cada incidente, su causa raíz, acciones implementadas, impacto asociado, evidencias técnicas y pruebas realizadas.</w:t>
      </w:r>
    </w:p>
    <w:p w14:paraId="60BDF31C" w14:textId="77777777" w:rsidR="00160081" w:rsidRPr="00160081" w:rsidRDefault="00160081" w:rsidP="00160081">
      <w:pPr>
        <w:numPr>
          <w:ilvl w:val="0"/>
          <w:numId w:val="73"/>
        </w:numPr>
        <w:spacing w:after="0" w:line="240" w:lineRule="auto"/>
        <w:rPr>
          <w:rFonts w:cstheme="minorHAnsi"/>
          <w:sz w:val="20"/>
          <w:szCs w:val="20"/>
        </w:rPr>
      </w:pPr>
      <w:r w:rsidRPr="00160081">
        <w:rPr>
          <w:rFonts w:cstheme="minorHAnsi"/>
          <w:sz w:val="20"/>
          <w:szCs w:val="20"/>
        </w:rPr>
        <w:t>Mantener trazabilidad completa en el sistema de reporte de incidentes, conforme a buenas prácticas ITSM/ITIL.</w:t>
      </w:r>
    </w:p>
    <w:p w14:paraId="7224727A" w14:textId="77777777" w:rsidR="00160081" w:rsidRPr="00160081" w:rsidRDefault="00160081" w:rsidP="00160081">
      <w:pPr>
        <w:numPr>
          <w:ilvl w:val="0"/>
          <w:numId w:val="73"/>
        </w:numPr>
        <w:spacing w:after="0" w:line="240" w:lineRule="auto"/>
        <w:rPr>
          <w:rFonts w:cstheme="minorHAnsi"/>
          <w:sz w:val="20"/>
          <w:szCs w:val="20"/>
        </w:rPr>
      </w:pPr>
      <w:r w:rsidRPr="00160081">
        <w:rPr>
          <w:rFonts w:cstheme="minorHAnsi"/>
          <w:sz w:val="20"/>
          <w:szCs w:val="20"/>
        </w:rPr>
        <w:t>Actualizar la documentación técnica cuando aplique.</w:t>
      </w:r>
    </w:p>
    <w:p w14:paraId="7B48B571" w14:textId="77777777" w:rsidR="00160081" w:rsidRPr="00160081" w:rsidRDefault="00160081" w:rsidP="00160081">
      <w:pPr>
        <w:numPr>
          <w:ilvl w:val="0"/>
          <w:numId w:val="74"/>
        </w:numPr>
        <w:spacing w:after="0" w:line="240" w:lineRule="auto"/>
        <w:rPr>
          <w:rFonts w:cstheme="minorHAnsi"/>
          <w:sz w:val="20"/>
          <w:szCs w:val="20"/>
        </w:rPr>
      </w:pPr>
      <w:r w:rsidRPr="00160081">
        <w:rPr>
          <w:rFonts w:cstheme="minorHAnsi"/>
          <w:sz w:val="20"/>
          <w:szCs w:val="20"/>
        </w:rPr>
        <w:t>Garantizar que cada incidente de severidad alta o repetitiva incluya análisis de causa raíz y un plan preventivo.</w:t>
      </w:r>
    </w:p>
    <w:p w14:paraId="2F65AB76" w14:textId="77777777" w:rsidR="00160081" w:rsidRPr="00160081" w:rsidRDefault="00160081" w:rsidP="00160081">
      <w:pPr>
        <w:numPr>
          <w:ilvl w:val="0"/>
          <w:numId w:val="74"/>
        </w:numPr>
        <w:spacing w:after="0" w:line="240" w:lineRule="auto"/>
        <w:rPr>
          <w:rFonts w:cstheme="minorHAnsi"/>
          <w:sz w:val="20"/>
          <w:szCs w:val="20"/>
        </w:rPr>
      </w:pPr>
      <w:r w:rsidRPr="00160081">
        <w:rPr>
          <w:rFonts w:cstheme="minorHAnsi"/>
          <w:sz w:val="20"/>
          <w:szCs w:val="20"/>
        </w:rPr>
        <w:t>Proponer mejoras permanentes cuando los incidentes tengan patrones recurrentes o deriven de configuraciones no óptimas.</w:t>
      </w:r>
    </w:p>
    <w:p w14:paraId="6A6F87A2" w14:textId="77777777" w:rsidR="00160081" w:rsidRPr="00160081" w:rsidRDefault="00160081" w:rsidP="00160081">
      <w:pPr>
        <w:numPr>
          <w:ilvl w:val="0"/>
          <w:numId w:val="75"/>
        </w:numPr>
        <w:spacing w:after="0" w:line="240" w:lineRule="auto"/>
        <w:rPr>
          <w:rFonts w:cstheme="minorHAnsi"/>
          <w:sz w:val="20"/>
          <w:szCs w:val="20"/>
        </w:rPr>
      </w:pPr>
      <w:r w:rsidRPr="00160081">
        <w:rPr>
          <w:rFonts w:cstheme="minorHAnsi"/>
          <w:sz w:val="20"/>
          <w:szCs w:val="20"/>
        </w:rPr>
        <w:t>Proveer correcciones urgentes para errores que afecten servicios críticos del SRI, incluso dentro de ventanas de emergencia.</w:t>
      </w:r>
    </w:p>
    <w:p w14:paraId="53B353C7" w14:textId="77777777" w:rsidR="00160081" w:rsidRPr="00160081" w:rsidRDefault="00160081" w:rsidP="00160081">
      <w:pPr>
        <w:numPr>
          <w:ilvl w:val="0"/>
          <w:numId w:val="75"/>
        </w:numPr>
        <w:spacing w:after="0" w:line="240" w:lineRule="auto"/>
        <w:rPr>
          <w:rFonts w:cstheme="minorHAnsi"/>
          <w:sz w:val="20"/>
          <w:szCs w:val="20"/>
        </w:rPr>
      </w:pPr>
      <w:r w:rsidRPr="00160081">
        <w:rPr>
          <w:rFonts w:cstheme="minorHAnsi"/>
          <w:sz w:val="20"/>
          <w:szCs w:val="20"/>
        </w:rPr>
        <w:t>Asegurar compatibilidad y estabilidad tras la aplicación de parches o actualizaciones de seguridad.</w:t>
      </w:r>
    </w:p>
    <w:p w14:paraId="21A1D1C9" w14:textId="77777777" w:rsidR="00160081" w:rsidRPr="00160081" w:rsidRDefault="00160081" w:rsidP="00160081">
      <w:pPr>
        <w:rPr>
          <w:rFonts w:cstheme="minorHAnsi"/>
          <w:sz w:val="20"/>
          <w:szCs w:val="20"/>
        </w:rPr>
      </w:pPr>
    </w:p>
    <w:p w14:paraId="57F9D35A" w14:textId="77777777" w:rsidR="00160081" w:rsidRPr="00160081" w:rsidRDefault="00160081" w:rsidP="00160081">
      <w:pPr>
        <w:jc w:val="both"/>
        <w:rPr>
          <w:rFonts w:cstheme="minorHAnsi"/>
          <w:sz w:val="20"/>
          <w:szCs w:val="20"/>
        </w:rPr>
      </w:pPr>
      <w:r w:rsidRPr="00160081">
        <w:rPr>
          <w:rFonts w:cstheme="minorHAnsi"/>
          <w:sz w:val="20"/>
          <w:szCs w:val="20"/>
        </w:rPr>
        <w:t>El mantenimiento correctivo se ejecutará de acuerdo con los siguientes niveles y tiempos máximos de respuesta y resolución:</w:t>
      </w:r>
    </w:p>
    <w:tbl>
      <w:tblPr>
        <w:tblW w:w="46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8"/>
        <w:gridCol w:w="3886"/>
        <w:gridCol w:w="1102"/>
        <w:gridCol w:w="1122"/>
      </w:tblGrid>
      <w:tr w:rsidR="00160081" w:rsidRPr="00160081" w14:paraId="4843D494" w14:textId="77777777" w:rsidTr="00616507">
        <w:trPr>
          <w:trHeight w:val="640"/>
          <w:jc w:val="center"/>
        </w:trPr>
        <w:tc>
          <w:tcPr>
            <w:tcW w:w="898" w:type="pct"/>
            <w:vAlign w:val="center"/>
            <w:hideMark/>
          </w:tcPr>
          <w:p w14:paraId="4CF1479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Nivel de Incidente</w:t>
            </w:r>
          </w:p>
        </w:tc>
        <w:tc>
          <w:tcPr>
            <w:tcW w:w="2609" w:type="pct"/>
            <w:vAlign w:val="center"/>
            <w:hideMark/>
          </w:tcPr>
          <w:p w14:paraId="5F5536D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c>
          <w:tcPr>
            <w:tcW w:w="740" w:type="pct"/>
            <w:vAlign w:val="center"/>
            <w:hideMark/>
          </w:tcPr>
          <w:p w14:paraId="6324AF2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Tiempo Máximo de Respuesta</w:t>
            </w:r>
          </w:p>
        </w:tc>
        <w:tc>
          <w:tcPr>
            <w:tcW w:w="753" w:type="pct"/>
            <w:vAlign w:val="center"/>
            <w:hideMark/>
          </w:tcPr>
          <w:p w14:paraId="1160C3C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Tiempo Máximo de Resolución</w:t>
            </w:r>
          </w:p>
        </w:tc>
      </w:tr>
      <w:tr w:rsidR="00160081" w:rsidRPr="00160081" w14:paraId="057B6AC9" w14:textId="77777777" w:rsidTr="00616507">
        <w:trPr>
          <w:trHeight w:val="640"/>
          <w:jc w:val="center"/>
        </w:trPr>
        <w:tc>
          <w:tcPr>
            <w:tcW w:w="898" w:type="pct"/>
            <w:vAlign w:val="center"/>
            <w:hideMark/>
          </w:tcPr>
          <w:p w14:paraId="6D3F147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1 – Crítico</w:t>
            </w:r>
          </w:p>
        </w:tc>
        <w:tc>
          <w:tcPr>
            <w:tcW w:w="2609" w:type="pct"/>
            <w:vAlign w:val="center"/>
            <w:hideMark/>
          </w:tcPr>
          <w:p w14:paraId="28003BB9" w14:textId="77777777" w:rsidR="00160081" w:rsidRPr="00160081" w:rsidRDefault="00160081" w:rsidP="00BD3D91">
            <w:pPr>
              <w:rPr>
                <w:rFonts w:cstheme="minorHAnsi"/>
                <w:color w:val="000000"/>
                <w:sz w:val="20"/>
                <w:szCs w:val="20"/>
              </w:rPr>
            </w:pPr>
            <w:r w:rsidRPr="00160081">
              <w:rPr>
                <w:rFonts w:cstheme="minorHAnsi"/>
                <w:color w:val="000000"/>
                <w:sz w:val="20"/>
                <w:szCs w:val="20"/>
              </w:rPr>
              <w:t>Fallo total del servicio, indisponibilidad de la suite o impacto severo en procesos críticos. No existe alternativa temporal.</w:t>
            </w:r>
          </w:p>
        </w:tc>
        <w:tc>
          <w:tcPr>
            <w:tcW w:w="740" w:type="pct"/>
            <w:vAlign w:val="center"/>
            <w:hideMark/>
          </w:tcPr>
          <w:p w14:paraId="2BFFE7A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30 minutos</w:t>
            </w:r>
          </w:p>
        </w:tc>
        <w:tc>
          <w:tcPr>
            <w:tcW w:w="753" w:type="pct"/>
            <w:vAlign w:val="center"/>
            <w:hideMark/>
          </w:tcPr>
          <w:p w14:paraId="1367858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4 horas</w:t>
            </w:r>
          </w:p>
        </w:tc>
      </w:tr>
      <w:tr w:rsidR="00160081" w:rsidRPr="00160081" w14:paraId="33044789" w14:textId="77777777" w:rsidTr="00616507">
        <w:trPr>
          <w:trHeight w:val="448"/>
          <w:jc w:val="center"/>
        </w:trPr>
        <w:tc>
          <w:tcPr>
            <w:tcW w:w="898" w:type="pct"/>
            <w:vAlign w:val="center"/>
            <w:hideMark/>
          </w:tcPr>
          <w:p w14:paraId="6ABC5E7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2 – Alto</w:t>
            </w:r>
          </w:p>
        </w:tc>
        <w:tc>
          <w:tcPr>
            <w:tcW w:w="2609" w:type="pct"/>
            <w:vAlign w:val="center"/>
            <w:hideMark/>
          </w:tcPr>
          <w:p w14:paraId="5780AC9B" w14:textId="77777777" w:rsidR="00160081" w:rsidRPr="00160081" w:rsidRDefault="00160081" w:rsidP="00BD3D91">
            <w:pPr>
              <w:rPr>
                <w:rFonts w:cstheme="minorHAnsi"/>
                <w:color w:val="000000"/>
                <w:sz w:val="20"/>
                <w:szCs w:val="20"/>
              </w:rPr>
            </w:pPr>
            <w:r w:rsidRPr="00160081">
              <w:rPr>
                <w:rFonts w:cstheme="minorHAnsi"/>
                <w:color w:val="000000"/>
                <w:sz w:val="20"/>
                <w:szCs w:val="20"/>
              </w:rPr>
              <w:t>El servicio opera parcialmente con degradación significativa. Existen alternativas limitadas.</w:t>
            </w:r>
          </w:p>
        </w:tc>
        <w:tc>
          <w:tcPr>
            <w:tcW w:w="740" w:type="pct"/>
            <w:vAlign w:val="center"/>
            <w:hideMark/>
          </w:tcPr>
          <w:p w14:paraId="7E6AAB0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1 hora</w:t>
            </w:r>
          </w:p>
        </w:tc>
        <w:tc>
          <w:tcPr>
            <w:tcW w:w="753" w:type="pct"/>
            <w:vAlign w:val="center"/>
            <w:hideMark/>
          </w:tcPr>
          <w:p w14:paraId="5D30C50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8 horas</w:t>
            </w:r>
          </w:p>
        </w:tc>
      </w:tr>
      <w:tr w:rsidR="00160081" w:rsidRPr="00160081" w14:paraId="4F8B7CD3" w14:textId="77777777" w:rsidTr="00616507">
        <w:trPr>
          <w:trHeight w:val="426"/>
          <w:jc w:val="center"/>
        </w:trPr>
        <w:tc>
          <w:tcPr>
            <w:tcW w:w="898" w:type="pct"/>
            <w:vAlign w:val="center"/>
            <w:hideMark/>
          </w:tcPr>
          <w:p w14:paraId="4639150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3 – Medio</w:t>
            </w:r>
          </w:p>
        </w:tc>
        <w:tc>
          <w:tcPr>
            <w:tcW w:w="2609" w:type="pct"/>
            <w:vAlign w:val="center"/>
            <w:hideMark/>
          </w:tcPr>
          <w:p w14:paraId="16E7B716" w14:textId="77777777" w:rsidR="00160081" w:rsidRPr="00160081" w:rsidRDefault="00160081" w:rsidP="00BD3D91">
            <w:pPr>
              <w:rPr>
                <w:rFonts w:cstheme="minorHAnsi"/>
                <w:color w:val="000000"/>
                <w:sz w:val="20"/>
                <w:szCs w:val="20"/>
              </w:rPr>
            </w:pPr>
            <w:r w:rsidRPr="00160081">
              <w:rPr>
                <w:rFonts w:cstheme="minorHAnsi"/>
                <w:color w:val="000000"/>
                <w:sz w:val="20"/>
                <w:szCs w:val="20"/>
              </w:rPr>
              <w:t>Impacto funcional moderado sin afectar servicios críticos. Existen alternativas razonables.</w:t>
            </w:r>
          </w:p>
        </w:tc>
        <w:tc>
          <w:tcPr>
            <w:tcW w:w="740" w:type="pct"/>
            <w:vAlign w:val="center"/>
            <w:hideMark/>
          </w:tcPr>
          <w:p w14:paraId="526773C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4 horas</w:t>
            </w:r>
          </w:p>
        </w:tc>
        <w:tc>
          <w:tcPr>
            <w:tcW w:w="753" w:type="pct"/>
            <w:vAlign w:val="center"/>
            <w:hideMark/>
          </w:tcPr>
          <w:p w14:paraId="65D24AC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48 horas</w:t>
            </w:r>
          </w:p>
        </w:tc>
      </w:tr>
      <w:tr w:rsidR="00160081" w:rsidRPr="00160081" w14:paraId="66C52317" w14:textId="77777777" w:rsidTr="00616507">
        <w:trPr>
          <w:trHeight w:val="640"/>
          <w:jc w:val="center"/>
        </w:trPr>
        <w:tc>
          <w:tcPr>
            <w:tcW w:w="898" w:type="pct"/>
            <w:vAlign w:val="center"/>
            <w:hideMark/>
          </w:tcPr>
          <w:p w14:paraId="35407DE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Nivel 4 – Bajo</w:t>
            </w:r>
          </w:p>
        </w:tc>
        <w:tc>
          <w:tcPr>
            <w:tcW w:w="2609" w:type="pct"/>
            <w:vAlign w:val="center"/>
            <w:hideMark/>
          </w:tcPr>
          <w:p w14:paraId="062AB2D4"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Incidentes menores sin impacto operativo significativo; errores cosméticos o de documentación.</w:t>
            </w:r>
          </w:p>
        </w:tc>
        <w:tc>
          <w:tcPr>
            <w:tcW w:w="740" w:type="pct"/>
            <w:vAlign w:val="center"/>
            <w:hideMark/>
          </w:tcPr>
          <w:p w14:paraId="2F1B336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8 horas</w:t>
            </w:r>
          </w:p>
        </w:tc>
        <w:tc>
          <w:tcPr>
            <w:tcW w:w="753" w:type="pct"/>
            <w:vAlign w:val="center"/>
            <w:hideMark/>
          </w:tcPr>
          <w:p w14:paraId="4190B03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5 días hábiles</w:t>
            </w:r>
          </w:p>
        </w:tc>
      </w:tr>
    </w:tbl>
    <w:p w14:paraId="33E025E3" w14:textId="77777777" w:rsidR="00160081" w:rsidRPr="00160081" w:rsidRDefault="00160081" w:rsidP="00160081">
      <w:pPr>
        <w:rPr>
          <w:rFonts w:cstheme="minorHAnsi"/>
          <w:sz w:val="20"/>
          <w:szCs w:val="20"/>
        </w:rPr>
      </w:pPr>
    </w:p>
    <w:p w14:paraId="40BA7C82"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99" w:name="_Toc216200105"/>
      <w:bookmarkStart w:id="100" w:name="_Toc217326224"/>
      <w:r w:rsidRPr="00160081">
        <w:rPr>
          <w:rFonts w:asciiTheme="minorHAnsi" w:eastAsia="Times New Roman" w:hAnsiTheme="minorHAnsi" w:cstheme="minorHAnsi"/>
          <w:b/>
          <w:bCs/>
          <w:color w:val="000000" w:themeColor="text1"/>
          <w:sz w:val="20"/>
          <w:szCs w:val="20"/>
        </w:rPr>
        <w:t>8.4 Mantenimiento evolutivo</w:t>
      </w:r>
      <w:bookmarkEnd w:id="99"/>
      <w:bookmarkEnd w:id="100"/>
      <w:r w:rsidRPr="00160081">
        <w:rPr>
          <w:rFonts w:asciiTheme="minorHAnsi" w:eastAsia="Times New Roman" w:hAnsiTheme="minorHAnsi" w:cstheme="minorHAnsi"/>
          <w:b/>
          <w:bCs/>
          <w:color w:val="000000" w:themeColor="text1"/>
          <w:sz w:val="20"/>
          <w:szCs w:val="20"/>
        </w:rPr>
        <w:t xml:space="preserve"> </w:t>
      </w:r>
    </w:p>
    <w:p w14:paraId="4D476975" w14:textId="77777777" w:rsidR="00160081" w:rsidRPr="00160081" w:rsidRDefault="00160081" w:rsidP="00160081">
      <w:pPr>
        <w:rPr>
          <w:rFonts w:cstheme="minorHAnsi"/>
          <w:sz w:val="20"/>
          <w:szCs w:val="20"/>
        </w:rPr>
      </w:pPr>
    </w:p>
    <w:p w14:paraId="47A58C5D" w14:textId="77777777" w:rsidR="00160081" w:rsidRPr="00160081" w:rsidRDefault="00160081" w:rsidP="00160081">
      <w:pPr>
        <w:jc w:val="both"/>
        <w:rPr>
          <w:rFonts w:cstheme="minorHAnsi"/>
          <w:sz w:val="20"/>
          <w:szCs w:val="20"/>
        </w:rPr>
      </w:pPr>
      <w:r w:rsidRPr="00160081">
        <w:rPr>
          <w:rFonts w:cstheme="minorHAnsi"/>
          <w:sz w:val="20"/>
          <w:szCs w:val="20"/>
        </w:rPr>
        <w:t>El contratista deberá prestar el servicio de mantenimiento evolutivo orientado a garantizar la capacidad de la suite para incorporar mejoras, nuevas configuraciones, ajustes derivados de actividades operativas y la implementación de casos de uso adicionales no contemplados en el alcance inicial del proyecto.</w:t>
      </w:r>
    </w:p>
    <w:p w14:paraId="5ACD7FA4" w14:textId="77777777" w:rsidR="00160081" w:rsidRPr="00160081" w:rsidRDefault="00160081" w:rsidP="00160081">
      <w:pPr>
        <w:jc w:val="both"/>
        <w:rPr>
          <w:rFonts w:cstheme="minorHAnsi"/>
          <w:sz w:val="20"/>
          <w:szCs w:val="20"/>
        </w:rPr>
      </w:pPr>
      <w:r w:rsidRPr="00160081">
        <w:rPr>
          <w:rFonts w:cstheme="minorHAnsi"/>
          <w:sz w:val="20"/>
          <w:szCs w:val="20"/>
        </w:rPr>
        <w:t>El contratista deberá ejecutar estas actividades bajo buenas prácticas de ingeniería de software, asegurando que cualquier modificación preserve la integridad funcional, la trazabilidad, la compatibilidad entre ambientes y la integración establecida para la suite.</w:t>
      </w:r>
    </w:p>
    <w:p w14:paraId="18A69DE8" w14:textId="77777777" w:rsidR="00160081" w:rsidRPr="00160081" w:rsidRDefault="00160081" w:rsidP="00160081">
      <w:pPr>
        <w:jc w:val="both"/>
        <w:rPr>
          <w:rFonts w:cstheme="minorHAnsi"/>
          <w:sz w:val="20"/>
          <w:szCs w:val="20"/>
        </w:rPr>
      </w:pPr>
    </w:p>
    <w:p w14:paraId="4B049344" w14:textId="77777777" w:rsidR="00160081" w:rsidRPr="00160081" w:rsidRDefault="00160081" w:rsidP="00160081">
      <w:pPr>
        <w:jc w:val="both"/>
        <w:rPr>
          <w:rFonts w:cstheme="minorHAnsi"/>
          <w:sz w:val="20"/>
          <w:szCs w:val="20"/>
        </w:rPr>
      </w:pPr>
      <w:r w:rsidRPr="00160081">
        <w:rPr>
          <w:rFonts w:cstheme="minorHAnsi"/>
          <w:sz w:val="20"/>
          <w:szCs w:val="20"/>
        </w:rPr>
        <w:t>En este sentido el contratista deberá:</w:t>
      </w:r>
    </w:p>
    <w:p w14:paraId="501B0A30" w14:textId="77777777" w:rsidR="00160081" w:rsidRPr="00160081" w:rsidRDefault="00160081" w:rsidP="00616507">
      <w:pPr>
        <w:pStyle w:val="Prrafodelista"/>
        <w:numPr>
          <w:ilvl w:val="0"/>
          <w:numId w:val="76"/>
        </w:numPr>
        <w:spacing w:after="0" w:line="240" w:lineRule="auto"/>
        <w:ind w:left="567"/>
        <w:jc w:val="both"/>
        <w:rPr>
          <w:rFonts w:cstheme="minorHAnsi"/>
          <w:sz w:val="20"/>
          <w:szCs w:val="20"/>
        </w:rPr>
      </w:pPr>
      <w:r w:rsidRPr="00160081">
        <w:rPr>
          <w:rFonts w:cstheme="minorHAnsi"/>
          <w:sz w:val="20"/>
          <w:szCs w:val="20"/>
        </w:rPr>
        <w:t>Disponer de una bolsa de horas de mantenimiento evolutivo, destinada exclusivamente a:</w:t>
      </w:r>
    </w:p>
    <w:p w14:paraId="3862B179"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Incorporación de nuevos casos de uso.</w:t>
      </w:r>
    </w:p>
    <w:p w14:paraId="3D3F4739"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Ajustes funcionales o técnicos requeridos por el SRI posteriores a la estabilización.</w:t>
      </w:r>
    </w:p>
    <w:p w14:paraId="3F9C2E7F"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Nuevas configuraciones de reglas, procesos o artefactos documentales que no puedan ser realizadas por personal del SRI.</w:t>
      </w:r>
    </w:p>
    <w:p w14:paraId="65B0A157"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Optimización necesaria para mejoras de rendimiento, estabilidad o usabilidad.</w:t>
      </w:r>
    </w:p>
    <w:p w14:paraId="442A7354"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 xml:space="preserve">Parametrización de integraciones adicionales mediante </w:t>
      </w:r>
      <w:proofErr w:type="spellStart"/>
      <w:r w:rsidRPr="00160081">
        <w:rPr>
          <w:rFonts w:cstheme="minorHAnsi"/>
          <w:sz w:val="20"/>
          <w:szCs w:val="20"/>
        </w:rPr>
        <w:t>APIs</w:t>
      </w:r>
      <w:proofErr w:type="spellEnd"/>
      <w:r w:rsidRPr="00160081">
        <w:rPr>
          <w:rFonts w:cstheme="minorHAnsi"/>
          <w:sz w:val="20"/>
          <w:szCs w:val="20"/>
        </w:rPr>
        <w:t>, mensajería o conectores estándar.</w:t>
      </w:r>
    </w:p>
    <w:p w14:paraId="2B97267F"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Actualización de formularios, pantallas, flujos, tablas de decisión y metadatos relacionados, no contemplados inicialmente</w:t>
      </w:r>
    </w:p>
    <w:p w14:paraId="60ACACD4" w14:textId="77777777" w:rsidR="00160081" w:rsidRPr="00160081" w:rsidRDefault="00160081" w:rsidP="00160081">
      <w:pPr>
        <w:pStyle w:val="Prrafodelista"/>
        <w:numPr>
          <w:ilvl w:val="1"/>
          <w:numId w:val="77"/>
        </w:numPr>
        <w:spacing w:after="0" w:line="240" w:lineRule="auto"/>
        <w:jc w:val="both"/>
        <w:rPr>
          <w:rFonts w:cstheme="minorHAnsi"/>
          <w:sz w:val="20"/>
          <w:szCs w:val="20"/>
        </w:rPr>
      </w:pPr>
      <w:r w:rsidRPr="00160081">
        <w:rPr>
          <w:rFonts w:cstheme="minorHAnsi"/>
          <w:sz w:val="20"/>
          <w:szCs w:val="20"/>
        </w:rPr>
        <w:t xml:space="preserve">Creación o modificación de reportes, </w:t>
      </w:r>
      <w:proofErr w:type="spellStart"/>
      <w:r w:rsidRPr="00160081">
        <w:rPr>
          <w:rFonts w:cstheme="minorHAnsi"/>
          <w:sz w:val="20"/>
          <w:szCs w:val="20"/>
        </w:rPr>
        <w:t>dashboards</w:t>
      </w:r>
      <w:proofErr w:type="spellEnd"/>
      <w:r w:rsidRPr="00160081">
        <w:rPr>
          <w:rFonts w:cstheme="minorHAnsi"/>
          <w:sz w:val="20"/>
          <w:szCs w:val="20"/>
        </w:rPr>
        <w:t xml:space="preserve"> o elementos de monitoreo técnico/funcional no contemplados en los casos de uso iniciales.</w:t>
      </w:r>
    </w:p>
    <w:p w14:paraId="5B6F20EC" w14:textId="77777777" w:rsidR="00160081" w:rsidRPr="00160081" w:rsidRDefault="00160081" w:rsidP="00160081">
      <w:pPr>
        <w:pStyle w:val="Prrafodelista"/>
        <w:jc w:val="both"/>
        <w:rPr>
          <w:rFonts w:cstheme="minorHAnsi"/>
          <w:sz w:val="20"/>
          <w:szCs w:val="20"/>
        </w:rPr>
      </w:pPr>
    </w:p>
    <w:p w14:paraId="514EEAC1" w14:textId="77777777" w:rsidR="00160081" w:rsidRPr="00160081" w:rsidRDefault="00160081" w:rsidP="00160081">
      <w:pPr>
        <w:pStyle w:val="Prrafodelista"/>
        <w:numPr>
          <w:ilvl w:val="0"/>
          <w:numId w:val="76"/>
        </w:numPr>
        <w:spacing w:after="0" w:line="240" w:lineRule="auto"/>
        <w:jc w:val="both"/>
        <w:rPr>
          <w:rFonts w:cstheme="minorHAnsi"/>
          <w:sz w:val="20"/>
          <w:szCs w:val="20"/>
        </w:rPr>
      </w:pPr>
      <w:r w:rsidRPr="00160081">
        <w:rPr>
          <w:rFonts w:cstheme="minorHAnsi"/>
          <w:sz w:val="20"/>
          <w:szCs w:val="20"/>
        </w:rPr>
        <w:t>Proponer durante los 30 días siguientes a la firma del contrato un mecanismo de estimación de esfuerzo para actividades evolutivas, que deberá estar basado en métricas claras y aceptadas generalmente, especificar categorías de complejidad y rangos de horas estimadas asociados, incluyendo un procedimiento formal para revisión y aprobación por parte del SRI previo a la ejecución.</w:t>
      </w:r>
    </w:p>
    <w:p w14:paraId="5B90D2F7" w14:textId="77777777" w:rsidR="00160081" w:rsidRPr="00160081" w:rsidRDefault="00160081" w:rsidP="00160081">
      <w:pPr>
        <w:pStyle w:val="Prrafodelista"/>
        <w:rPr>
          <w:rFonts w:cstheme="minorHAnsi"/>
          <w:sz w:val="20"/>
          <w:szCs w:val="20"/>
        </w:rPr>
      </w:pPr>
    </w:p>
    <w:p w14:paraId="5DFA3A4D" w14:textId="77777777" w:rsidR="00160081" w:rsidRPr="00160081" w:rsidRDefault="00160081" w:rsidP="00160081">
      <w:pPr>
        <w:pStyle w:val="Prrafodelista"/>
        <w:numPr>
          <w:ilvl w:val="0"/>
          <w:numId w:val="76"/>
        </w:numPr>
        <w:spacing w:after="0" w:line="240" w:lineRule="auto"/>
        <w:rPr>
          <w:rFonts w:cstheme="minorHAnsi"/>
          <w:sz w:val="20"/>
          <w:szCs w:val="20"/>
        </w:rPr>
      </w:pPr>
      <w:r w:rsidRPr="00160081">
        <w:rPr>
          <w:rFonts w:cstheme="minorHAnsi"/>
          <w:sz w:val="20"/>
          <w:szCs w:val="20"/>
        </w:rPr>
        <w:t>Presentar para cada requerimiento evolutivo un Plan de Ejecución Evolutiva que incluya:</w:t>
      </w:r>
    </w:p>
    <w:p w14:paraId="639B7D61" w14:textId="77777777" w:rsidR="00160081" w:rsidRPr="00160081" w:rsidRDefault="00160081" w:rsidP="00160081">
      <w:pPr>
        <w:pStyle w:val="Prrafodelista"/>
        <w:numPr>
          <w:ilvl w:val="1"/>
          <w:numId w:val="78"/>
        </w:numPr>
        <w:spacing w:after="0" w:line="240" w:lineRule="auto"/>
        <w:rPr>
          <w:rFonts w:cstheme="minorHAnsi"/>
          <w:sz w:val="20"/>
          <w:szCs w:val="20"/>
        </w:rPr>
      </w:pPr>
      <w:r w:rsidRPr="00160081">
        <w:rPr>
          <w:rFonts w:cstheme="minorHAnsi"/>
          <w:sz w:val="20"/>
          <w:szCs w:val="20"/>
        </w:rPr>
        <w:t>Descripción funcional y alcance técnico.</w:t>
      </w:r>
    </w:p>
    <w:p w14:paraId="5F25D12C" w14:textId="77777777" w:rsidR="00160081" w:rsidRPr="00160081" w:rsidRDefault="00160081" w:rsidP="00160081">
      <w:pPr>
        <w:pStyle w:val="Prrafodelista"/>
        <w:numPr>
          <w:ilvl w:val="1"/>
          <w:numId w:val="78"/>
        </w:numPr>
        <w:spacing w:after="0" w:line="240" w:lineRule="auto"/>
        <w:rPr>
          <w:rFonts w:cstheme="minorHAnsi"/>
          <w:sz w:val="20"/>
          <w:szCs w:val="20"/>
        </w:rPr>
      </w:pPr>
      <w:r w:rsidRPr="00160081">
        <w:rPr>
          <w:rFonts w:cstheme="minorHAnsi"/>
          <w:sz w:val="20"/>
          <w:szCs w:val="20"/>
        </w:rPr>
        <w:t>Impacto sobre artefactos de la suite (procesos, reglas, expedientes, integraciones, formularios).</w:t>
      </w:r>
    </w:p>
    <w:p w14:paraId="48D66425" w14:textId="77777777" w:rsidR="00160081" w:rsidRPr="00160081" w:rsidRDefault="00160081" w:rsidP="00160081">
      <w:pPr>
        <w:pStyle w:val="Prrafodelista"/>
        <w:numPr>
          <w:ilvl w:val="1"/>
          <w:numId w:val="78"/>
        </w:numPr>
        <w:spacing w:after="0" w:line="240" w:lineRule="auto"/>
        <w:rPr>
          <w:rFonts w:cstheme="minorHAnsi"/>
          <w:sz w:val="20"/>
          <w:szCs w:val="20"/>
        </w:rPr>
      </w:pPr>
      <w:r w:rsidRPr="00160081">
        <w:rPr>
          <w:rFonts w:cstheme="minorHAnsi"/>
          <w:sz w:val="20"/>
          <w:szCs w:val="20"/>
        </w:rPr>
        <w:t>Estimación de horas conforme al mecanismo propuesto.</w:t>
      </w:r>
    </w:p>
    <w:p w14:paraId="63CCAD24" w14:textId="77777777" w:rsidR="00160081" w:rsidRPr="00160081" w:rsidRDefault="00160081" w:rsidP="00160081">
      <w:pPr>
        <w:pStyle w:val="Prrafodelista"/>
        <w:numPr>
          <w:ilvl w:val="1"/>
          <w:numId w:val="78"/>
        </w:numPr>
        <w:spacing w:after="0" w:line="240" w:lineRule="auto"/>
        <w:rPr>
          <w:rFonts w:cstheme="minorHAnsi"/>
          <w:sz w:val="20"/>
          <w:szCs w:val="20"/>
        </w:rPr>
      </w:pPr>
      <w:r w:rsidRPr="00160081">
        <w:rPr>
          <w:rFonts w:cstheme="minorHAnsi"/>
          <w:sz w:val="20"/>
          <w:szCs w:val="20"/>
        </w:rPr>
        <w:t>Cronograma y dependencias.</w:t>
      </w:r>
    </w:p>
    <w:p w14:paraId="3E1B25C8" w14:textId="77777777" w:rsidR="00160081" w:rsidRPr="00160081" w:rsidRDefault="00160081" w:rsidP="00160081">
      <w:pPr>
        <w:pStyle w:val="Prrafodelista"/>
        <w:numPr>
          <w:ilvl w:val="1"/>
          <w:numId w:val="78"/>
        </w:numPr>
        <w:spacing w:after="0" w:line="240" w:lineRule="auto"/>
        <w:rPr>
          <w:rFonts w:cstheme="minorHAnsi"/>
          <w:sz w:val="20"/>
          <w:szCs w:val="20"/>
        </w:rPr>
      </w:pPr>
      <w:r w:rsidRPr="00160081">
        <w:rPr>
          <w:rFonts w:cstheme="minorHAnsi"/>
          <w:sz w:val="20"/>
          <w:szCs w:val="20"/>
        </w:rPr>
        <w:t>Evidencia de pruebas y criterios de aceptación asociados.</w:t>
      </w:r>
    </w:p>
    <w:p w14:paraId="32852C1E" w14:textId="77777777" w:rsidR="00160081" w:rsidRPr="00160081" w:rsidRDefault="00160081" w:rsidP="00160081">
      <w:pPr>
        <w:pStyle w:val="Prrafodelista"/>
        <w:rPr>
          <w:rFonts w:cstheme="minorHAnsi"/>
          <w:sz w:val="20"/>
          <w:szCs w:val="20"/>
        </w:rPr>
      </w:pPr>
    </w:p>
    <w:p w14:paraId="39FA5929" w14:textId="77777777" w:rsidR="00160081" w:rsidRPr="00160081" w:rsidRDefault="00160081" w:rsidP="00160081">
      <w:pPr>
        <w:pStyle w:val="Prrafodelista"/>
        <w:numPr>
          <w:ilvl w:val="0"/>
          <w:numId w:val="76"/>
        </w:numPr>
        <w:spacing w:after="0" w:line="240" w:lineRule="auto"/>
        <w:rPr>
          <w:rFonts w:cstheme="minorHAnsi"/>
          <w:sz w:val="20"/>
          <w:szCs w:val="20"/>
        </w:rPr>
      </w:pPr>
      <w:r w:rsidRPr="00160081">
        <w:rPr>
          <w:rFonts w:cstheme="minorHAnsi"/>
          <w:sz w:val="20"/>
          <w:szCs w:val="20"/>
        </w:rPr>
        <w:t>Realizar todas las actividades evolutivas en estricto cumplimiento de la gobernanza de versiones; los procedimientos formales de migración entre ambientes; los mecanismos de control de cambios establecidos por el SRI; y todos los requerimientos no funcionales aplicables, incluyendo rendimiento, seguridad, auditoría y disponibilidad.</w:t>
      </w:r>
    </w:p>
    <w:p w14:paraId="543B40B3" w14:textId="77777777" w:rsidR="00160081" w:rsidRPr="00160081" w:rsidRDefault="00160081" w:rsidP="00160081">
      <w:pPr>
        <w:pStyle w:val="Prrafodelista"/>
        <w:rPr>
          <w:rFonts w:cstheme="minorHAnsi"/>
          <w:sz w:val="20"/>
          <w:szCs w:val="20"/>
        </w:rPr>
      </w:pPr>
    </w:p>
    <w:p w14:paraId="002E05D2" w14:textId="77777777" w:rsidR="00160081" w:rsidRPr="00160081" w:rsidRDefault="00160081" w:rsidP="00160081">
      <w:pPr>
        <w:pStyle w:val="Prrafodelista"/>
        <w:numPr>
          <w:ilvl w:val="0"/>
          <w:numId w:val="76"/>
        </w:numPr>
        <w:spacing w:after="0" w:line="240" w:lineRule="auto"/>
        <w:rPr>
          <w:rFonts w:cstheme="minorHAnsi"/>
          <w:sz w:val="20"/>
          <w:szCs w:val="20"/>
        </w:rPr>
      </w:pPr>
      <w:r w:rsidRPr="00160081">
        <w:rPr>
          <w:rFonts w:cstheme="minorHAnsi"/>
          <w:sz w:val="20"/>
          <w:szCs w:val="20"/>
        </w:rPr>
        <w:t>Entregar evidencia completa al finalizar cada actividad evolutiva, incluyendo documentación técnica, artefactos versionados, resultados de pruebas, manuales actualizados cuando corresponda y notas de liberación.</w:t>
      </w:r>
    </w:p>
    <w:p w14:paraId="00A20742" w14:textId="77777777" w:rsidR="00160081" w:rsidRPr="00160081" w:rsidRDefault="00160081" w:rsidP="00160081">
      <w:pPr>
        <w:pStyle w:val="Prrafodelista"/>
        <w:rPr>
          <w:rFonts w:cstheme="minorHAnsi"/>
          <w:sz w:val="20"/>
          <w:szCs w:val="20"/>
        </w:rPr>
      </w:pPr>
    </w:p>
    <w:p w14:paraId="62FD2AC5" w14:textId="77777777" w:rsidR="00160081" w:rsidRPr="00160081" w:rsidRDefault="00160081" w:rsidP="00160081">
      <w:pPr>
        <w:pStyle w:val="Prrafodelista"/>
        <w:numPr>
          <w:ilvl w:val="0"/>
          <w:numId w:val="76"/>
        </w:numPr>
        <w:spacing w:after="0" w:line="240" w:lineRule="auto"/>
        <w:rPr>
          <w:rFonts w:cstheme="minorHAnsi"/>
          <w:sz w:val="20"/>
          <w:szCs w:val="20"/>
        </w:rPr>
      </w:pPr>
      <w:r w:rsidRPr="00160081">
        <w:rPr>
          <w:rFonts w:cstheme="minorHAnsi"/>
          <w:sz w:val="20"/>
          <w:szCs w:val="20"/>
        </w:rPr>
        <w:t>La incorporación de nuevos requerimientos deberá gestionarse exclusivamente a través del mecanismo de órdenes de trabajo y, cuando aplique, mediante el uso de la bolsa de horas evolutivas.</w:t>
      </w:r>
    </w:p>
    <w:p w14:paraId="255EADD5" w14:textId="77777777" w:rsidR="00160081" w:rsidRPr="00160081" w:rsidRDefault="00160081" w:rsidP="00160081">
      <w:pPr>
        <w:pStyle w:val="Prrafodelista"/>
        <w:rPr>
          <w:rFonts w:cstheme="minorHAnsi"/>
          <w:sz w:val="20"/>
          <w:szCs w:val="20"/>
        </w:rPr>
      </w:pPr>
    </w:p>
    <w:p w14:paraId="3C3F9082" w14:textId="77777777" w:rsidR="00160081" w:rsidRPr="00160081" w:rsidRDefault="00160081" w:rsidP="00160081">
      <w:pPr>
        <w:pStyle w:val="Prrafodelista"/>
        <w:numPr>
          <w:ilvl w:val="0"/>
          <w:numId w:val="76"/>
        </w:numPr>
        <w:spacing w:after="0" w:line="240" w:lineRule="auto"/>
        <w:rPr>
          <w:rFonts w:cstheme="minorHAnsi"/>
          <w:sz w:val="20"/>
          <w:szCs w:val="20"/>
        </w:rPr>
      </w:pPr>
      <w:r w:rsidRPr="00160081">
        <w:rPr>
          <w:rFonts w:cstheme="minorHAnsi"/>
          <w:sz w:val="20"/>
          <w:szCs w:val="20"/>
        </w:rPr>
        <w:t>Los pagos asociados a las órdenes de trabajo ejecutadas bajo la modalidad de mantenimiento evolutivo se realizarán únicamente por las horas efectivamente utilizadas y validadas por el administrador del contrato, previa entrega por parte del contratista de un informe detallado de actividades ejecutadas, evidencias de cumplimiento, entregables comprometidos y planilla de consumo de horas correspondiente.</w:t>
      </w:r>
    </w:p>
    <w:p w14:paraId="6D9793AE" w14:textId="77777777" w:rsidR="00160081" w:rsidRPr="00160081" w:rsidRDefault="00160081" w:rsidP="00160081">
      <w:pPr>
        <w:pStyle w:val="Prrafodelista"/>
        <w:rPr>
          <w:rFonts w:cstheme="minorHAnsi"/>
          <w:sz w:val="20"/>
          <w:szCs w:val="20"/>
        </w:rPr>
      </w:pPr>
    </w:p>
    <w:p w14:paraId="6B096CD9" w14:textId="77777777" w:rsidR="00160081" w:rsidRPr="00160081" w:rsidRDefault="00160081" w:rsidP="00160081">
      <w:pPr>
        <w:pStyle w:val="Prrafodelista"/>
        <w:ind w:left="284"/>
        <w:rPr>
          <w:rFonts w:cstheme="minorHAnsi"/>
          <w:sz w:val="20"/>
          <w:szCs w:val="20"/>
        </w:rPr>
      </w:pPr>
      <w:r w:rsidRPr="00160081">
        <w:rPr>
          <w:rFonts w:cstheme="minorHAnsi"/>
          <w:sz w:val="20"/>
          <w:szCs w:val="20"/>
          <w:lang w:val="es-ES"/>
        </w:rPr>
        <w:t xml:space="preserve">La bolsa mínima de horas se considerará conforme al monto estipulado en la sección 12. Forma y condiciones de pago, el costo hora de los recursos estimados para la ejecución de estas horas de trabajo debe ser el mismo al estimado en la implementación de casos de </w:t>
      </w:r>
      <w:proofErr w:type="gramStart"/>
      <w:r w:rsidRPr="00160081">
        <w:rPr>
          <w:rFonts w:cstheme="minorHAnsi"/>
          <w:sz w:val="20"/>
          <w:szCs w:val="20"/>
          <w:lang w:val="es-ES"/>
        </w:rPr>
        <w:t>uso,</w:t>
      </w:r>
      <w:r w:rsidRPr="00160081">
        <w:rPr>
          <w:rFonts w:cstheme="minorHAnsi"/>
          <w:sz w:val="20"/>
          <w:szCs w:val="20"/>
        </w:rPr>
        <w:t>.</w:t>
      </w:r>
      <w:proofErr w:type="gramEnd"/>
      <w:r w:rsidRPr="00160081">
        <w:rPr>
          <w:rFonts w:cstheme="minorHAnsi"/>
          <w:sz w:val="20"/>
          <w:szCs w:val="20"/>
        </w:rPr>
        <w:t xml:space="preserve"> E</w:t>
      </w:r>
      <w:r w:rsidRPr="00160081">
        <w:rPr>
          <w:rFonts w:cstheme="minorHAnsi"/>
          <w:sz w:val="20"/>
          <w:szCs w:val="20"/>
          <w:lang w:val="es-ES"/>
        </w:rPr>
        <w:t xml:space="preserve">l SRI no estará obligado a consumir la totalidad de dichas horas y las no utilizadas no generarán penalización, recargo ni costo adicional alguno </w:t>
      </w:r>
      <w:r w:rsidRPr="00160081">
        <w:rPr>
          <w:rFonts w:cstheme="minorHAnsi"/>
          <w:sz w:val="20"/>
          <w:szCs w:val="20"/>
        </w:rPr>
        <w:t>para el SRI.</w:t>
      </w:r>
    </w:p>
    <w:p w14:paraId="63A1BDBC" w14:textId="77777777" w:rsidR="00160081" w:rsidRPr="00160081" w:rsidRDefault="00160081" w:rsidP="00160081">
      <w:pPr>
        <w:pStyle w:val="Prrafodelista"/>
        <w:rPr>
          <w:rFonts w:cstheme="minorHAnsi"/>
          <w:sz w:val="20"/>
          <w:szCs w:val="20"/>
        </w:rPr>
      </w:pPr>
    </w:p>
    <w:p w14:paraId="39F86E9F"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01" w:name="_Toc216200106"/>
      <w:bookmarkStart w:id="102" w:name="_Toc217326225"/>
      <w:r w:rsidRPr="00160081">
        <w:rPr>
          <w:rFonts w:asciiTheme="minorHAnsi" w:eastAsia="Times New Roman" w:hAnsiTheme="minorHAnsi" w:cstheme="minorHAnsi"/>
          <w:b/>
          <w:bCs/>
          <w:color w:val="000000" w:themeColor="text1"/>
          <w:sz w:val="20"/>
          <w:szCs w:val="20"/>
        </w:rPr>
        <w:t>8.5 Acuerdos de Nivel de Servicio</w:t>
      </w:r>
      <w:bookmarkEnd w:id="101"/>
      <w:bookmarkEnd w:id="102"/>
    </w:p>
    <w:p w14:paraId="0AB8A9C0" w14:textId="77777777" w:rsidR="00160081" w:rsidRPr="00160081" w:rsidRDefault="00160081" w:rsidP="00160081">
      <w:pPr>
        <w:outlineLvl w:val="1"/>
        <w:rPr>
          <w:rFonts w:cstheme="minorHAnsi"/>
          <w:sz w:val="20"/>
          <w:szCs w:val="20"/>
        </w:rPr>
      </w:pPr>
    </w:p>
    <w:p w14:paraId="6954D203" w14:textId="77777777" w:rsidR="00160081" w:rsidRPr="00160081" w:rsidRDefault="00160081" w:rsidP="00160081">
      <w:pPr>
        <w:jc w:val="both"/>
        <w:rPr>
          <w:rFonts w:cstheme="minorHAnsi"/>
          <w:sz w:val="20"/>
          <w:szCs w:val="20"/>
        </w:rPr>
      </w:pPr>
      <w:r w:rsidRPr="00160081">
        <w:rPr>
          <w:rFonts w:cstheme="minorHAnsi"/>
          <w:sz w:val="20"/>
          <w:szCs w:val="20"/>
        </w:rPr>
        <w:t xml:space="preserve">El contratista deberá cumplir con los Acuerdos de Nivel de Servicio (ANS) aquí establecidos que regulan la calidad, oportunidad, disponibilidad y desempeño de los servicios de soporte, mantenimiento y operación de la suite tecnológica integral. </w:t>
      </w:r>
    </w:p>
    <w:p w14:paraId="76099DD2" w14:textId="77777777" w:rsidR="00160081" w:rsidRPr="00160081" w:rsidRDefault="00160081" w:rsidP="00160081">
      <w:pPr>
        <w:jc w:val="both"/>
        <w:rPr>
          <w:rFonts w:cstheme="minorHAnsi"/>
          <w:sz w:val="20"/>
          <w:szCs w:val="20"/>
        </w:rPr>
      </w:pPr>
    </w:p>
    <w:p w14:paraId="69F86E3C" w14:textId="77777777" w:rsidR="00160081" w:rsidRPr="00160081" w:rsidRDefault="00160081" w:rsidP="00160081">
      <w:pPr>
        <w:jc w:val="both"/>
        <w:rPr>
          <w:rFonts w:cstheme="minorHAnsi"/>
          <w:sz w:val="20"/>
          <w:szCs w:val="20"/>
        </w:rPr>
      </w:pPr>
      <w:r w:rsidRPr="00160081">
        <w:rPr>
          <w:rFonts w:cstheme="minorHAnsi"/>
          <w:sz w:val="20"/>
          <w:szCs w:val="20"/>
        </w:rPr>
        <w:t>Todos los ANS aquí definidos serán exigibles durante la vigencia del contrato y su incumplimiento dará lugar a la aplicación de penalidades, conforme a los mecanismos establecidos en la presente sección.</w:t>
      </w:r>
    </w:p>
    <w:p w14:paraId="5FE3B0A5" w14:textId="77777777" w:rsidR="00160081" w:rsidRPr="00160081" w:rsidRDefault="00160081" w:rsidP="00160081">
      <w:pPr>
        <w:jc w:val="both"/>
        <w:rPr>
          <w:rFonts w:cstheme="minorHAnsi"/>
          <w:sz w:val="20"/>
          <w:szCs w:val="20"/>
        </w:rPr>
      </w:pPr>
      <w:r w:rsidRPr="00160081">
        <w:rPr>
          <w:rFonts w:cstheme="minorHAnsi"/>
          <w:sz w:val="20"/>
          <w:szCs w:val="20"/>
        </w:rPr>
        <w:t>El contratista deberá monitorear permanentemente todos los indicadores, generar evidencia trazable y entregar reportes mensuales con métricas de cumplimiento y soporte documental de las mismas.</w:t>
      </w:r>
    </w:p>
    <w:p w14:paraId="3E35E2E1" w14:textId="77777777" w:rsidR="00160081" w:rsidRPr="00160081" w:rsidRDefault="00160081" w:rsidP="00160081">
      <w:pPr>
        <w:jc w:val="both"/>
        <w:rPr>
          <w:rFonts w:cstheme="minorHAnsi"/>
          <w:sz w:val="20"/>
          <w:szCs w:val="20"/>
        </w:rPr>
      </w:pPr>
      <w:r w:rsidRPr="00160081">
        <w:rPr>
          <w:rFonts w:cstheme="minorHAnsi"/>
          <w:sz w:val="20"/>
          <w:szCs w:val="20"/>
        </w:rPr>
        <w:t>Los ANS establecidos son los siguientes: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1714"/>
        <w:gridCol w:w="2320"/>
        <w:gridCol w:w="1652"/>
        <w:gridCol w:w="1733"/>
      </w:tblGrid>
      <w:tr w:rsidR="00160081" w:rsidRPr="00160081" w14:paraId="3C379FA2" w14:textId="77777777" w:rsidTr="00BD3D91">
        <w:trPr>
          <w:trHeight w:val="180"/>
          <w:tblHeader/>
          <w:jc w:val="center"/>
        </w:trPr>
        <w:tc>
          <w:tcPr>
            <w:tcW w:w="0" w:type="auto"/>
            <w:vAlign w:val="center"/>
            <w:hideMark/>
          </w:tcPr>
          <w:p w14:paraId="24544C13"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w:t>
            </w:r>
          </w:p>
        </w:tc>
        <w:tc>
          <w:tcPr>
            <w:tcW w:w="0" w:type="auto"/>
            <w:vAlign w:val="center"/>
            <w:hideMark/>
          </w:tcPr>
          <w:p w14:paraId="50F7448D"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ANS</w:t>
            </w:r>
          </w:p>
        </w:tc>
        <w:tc>
          <w:tcPr>
            <w:tcW w:w="0" w:type="auto"/>
            <w:vAlign w:val="center"/>
            <w:hideMark/>
          </w:tcPr>
          <w:p w14:paraId="390DB24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 xml:space="preserve">Descripción </w:t>
            </w:r>
          </w:p>
        </w:tc>
        <w:tc>
          <w:tcPr>
            <w:tcW w:w="0" w:type="auto"/>
            <w:vAlign w:val="center"/>
            <w:hideMark/>
          </w:tcPr>
          <w:p w14:paraId="5D7D64E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Métrica de cumplimiento</w:t>
            </w:r>
          </w:p>
        </w:tc>
        <w:tc>
          <w:tcPr>
            <w:tcW w:w="0" w:type="auto"/>
            <w:vAlign w:val="center"/>
            <w:hideMark/>
          </w:tcPr>
          <w:p w14:paraId="2E9599BC"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Umbral mínimo aceptable</w:t>
            </w:r>
          </w:p>
        </w:tc>
      </w:tr>
      <w:tr w:rsidR="00160081" w:rsidRPr="00160081" w14:paraId="1159A816" w14:textId="77777777" w:rsidTr="00BD3D91">
        <w:trPr>
          <w:trHeight w:val="515"/>
          <w:jc w:val="center"/>
        </w:trPr>
        <w:tc>
          <w:tcPr>
            <w:tcW w:w="0" w:type="auto"/>
            <w:vAlign w:val="center"/>
            <w:hideMark/>
          </w:tcPr>
          <w:p w14:paraId="3CF3D7A1"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1</w:t>
            </w:r>
          </w:p>
        </w:tc>
        <w:tc>
          <w:tcPr>
            <w:tcW w:w="0" w:type="auto"/>
            <w:vAlign w:val="center"/>
            <w:hideMark/>
          </w:tcPr>
          <w:p w14:paraId="71A403CB" w14:textId="77777777" w:rsidR="00160081" w:rsidRPr="00160081" w:rsidRDefault="00160081" w:rsidP="00BD3D91">
            <w:pPr>
              <w:rPr>
                <w:rFonts w:cstheme="minorHAnsi"/>
                <w:color w:val="000000"/>
                <w:sz w:val="20"/>
                <w:szCs w:val="20"/>
              </w:rPr>
            </w:pPr>
            <w:r w:rsidRPr="00160081">
              <w:rPr>
                <w:rFonts w:cstheme="minorHAnsi"/>
                <w:color w:val="000000"/>
                <w:sz w:val="20"/>
                <w:szCs w:val="20"/>
              </w:rPr>
              <w:t>Disponibilidad de la plataforma</w:t>
            </w:r>
          </w:p>
        </w:tc>
        <w:tc>
          <w:tcPr>
            <w:tcW w:w="0" w:type="auto"/>
            <w:vAlign w:val="center"/>
            <w:hideMark/>
          </w:tcPr>
          <w:p w14:paraId="3C326773" w14:textId="77777777" w:rsidR="00160081" w:rsidRPr="00160081" w:rsidRDefault="00160081" w:rsidP="00BD3D91">
            <w:pPr>
              <w:rPr>
                <w:rFonts w:cstheme="minorHAnsi"/>
                <w:color w:val="000000"/>
                <w:sz w:val="20"/>
                <w:szCs w:val="20"/>
              </w:rPr>
            </w:pPr>
            <w:r w:rsidRPr="00160081">
              <w:rPr>
                <w:rFonts w:cstheme="minorHAnsi"/>
                <w:color w:val="000000"/>
                <w:sz w:val="20"/>
                <w:szCs w:val="20"/>
              </w:rPr>
              <w:t>Garantizar la operación continua de la suite ambiente productivo.</w:t>
            </w:r>
          </w:p>
        </w:tc>
        <w:tc>
          <w:tcPr>
            <w:tcW w:w="0" w:type="auto"/>
            <w:vAlign w:val="center"/>
            <w:hideMark/>
          </w:tcPr>
          <w:p w14:paraId="74B78569"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Disponibilidad mensual (%)</w:t>
            </w:r>
          </w:p>
        </w:tc>
        <w:tc>
          <w:tcPr>
            <w:tcW w:w="0" w:type="auto"/>
            <w:vAlign w:val="center"/>
            <w:hideMark/>
          </w:tcPr>
          <w:p w14:paraId="3F85F6CB" w14:textId="77777777" w:rsidR="00160081" w:rsidRPr="00160081" w:rsidRDefault="00160081" w:rsidP="00BD3D91">
            <w:pPr>
              <w:jc w:val="center"/>
              <w:rPr>
                <w:rFonts w:cstheme="minorHAnsi"/>
                <w:color w:val="000000"/>
                <w:sz w:val="20"/>
                <w:szCs w:val="20"/>
              </w:rPr>
            </w:pPr>
            <w:bookmarkStart w:id="103" w:name="OLE_LINK42"/>
            <w:r w:rsidRPr="00160081">
              <w:rPr>
                <w:rFonts w:cstheme="minorHAnsi"/>
                <w:color w:val="000000"/>
                <w:sz w:val="20"/>
                <w:szCs w:val="20"/>
              </w:rPr>
              <w:t>≥ 99.5% mensual</w:t>
            </w:r>
            <w:bookmarkEnd w:id="103"/>
          </w:p>
        </w:tc>
      </w:tr>
      <w:tr w:rsidR="00160081" w:rsidRPr="00160081" w14:paraId="1048EB2A" w14:textId="77777777" w:rsidTr="00BD3D91">
        <w:trPr>
          <w:trHeight w:val="561"/>
          <w:jc w:val="center"/>
        </w:trPr>
        <w:tc>
          <w:tcPr>
            <w:tcW w:w="0" w:type="auto"/>
            <w:vAlign w:val="center"/>
            <w:hideMark/>
          </w:tcPr>
          <w:p w14:paraId="3791FB68"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2</w:t>
            </w:r>
          </w:p>
        </w:tc>
        <w:tc>
          <w:tcPr>
            <w:tcW w:w="0" w:type="auto"/>
            <w:vAlign w:val="center"/>
            <w:hideMark/>
          </w:tcPr>
          <w:p w14:paraId="76668D16" w14:textId="77777777" w:rsidR="00160081" w:rsidRPr="00160081" w:rsidRDefault="00160081" w:rsidP="00BD3D91">
            <w:pPr>
              <w:rPr>
                <w:rFonts w:cstheme="minorHAnsi"/>
                <w:color w:val="000000"/>
                <w:sz w:val="20"/>
                <w:szCs w:val="20"/>
              </w:rPr>
            </w:pPr>
            <w:r w:rsidRPr="00160081">
              <w:rPr>
                <w:rFonts w:cstheme="minorHAnsi"/>
                <w:color w:val="000000"/>
                <w:sz w:val="20"/>
                <w:szCs w:val="20"/>
              </w:rPr>
              <w:t>Tiempos de respuesta a incidentes (SLA/SLO)</w:t>
            </w:r>
          </w:p>
        </w:tc>
        <w:tc>
          <w:tcPr>
            <w:tcW w:w="0" w:type="auto"/>
            <w:vAlign w:val="center"/>
            <w:hideMark/>
          </w:tcPr>
          <w:p w14:paraId="573F69B2" w14:textId="77777777" w:rsidR="00160081" w:rsidRPr="00160081" w:rsidRDefault="00160081" w:rsidP="00BD3D91">
            <w:pPr>
              <w:rPr>
                <w:rFonts w:cstheme="minorHAnsi"/>
                <w:color w:val="000000"/>
                <w:sz w:val="20"/>
                <w:szCs w:val="20"/>
              </w:rPr>
            </w:pPr>
            <w:r w:rsidRPr="00160081">
              <w:rPr>
                <w:rFonts w:cstheme="minorHAnsi"/>
                <w:color w:val="000000"/>
                <w:sz w:val="20"/>
                <w:szCs w:val="20"/>
              </w:rPr>
              <w:t>Atender incidentes conforme al nivel de severidad establecido (N1–N3).</w:t>
            </w:r>
          </w:p>
        </w:tc>
        <w:tc>
          <w:tcPr>
            <w:tcW w:w="0" w:type="auto"/>
            <w:vAlign w:val="center"/>
            <w:hideMark/>
          </w:tcPr>
          <w:p w14:paraId="36C6B04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 xml:space="preserve">Tiempo de respuesta y tiempo de resolución medidos por </w:t>
            </w:r>
            <w:proofErr w:type="gramStart"/>
            <w:r w:rsidRPr="00160081">
              <w:rPr>
                <w:rFonts w:cstheme="minorHAnsi"/>
                <w:color w:val="000000"/>
                <w:sz w:val="20"/>
                <w:szCs w:val="20"/>
              </w:rPr>
              <w:t>ticket</w:t>
            </w:r>
            <w:proofErr w:type="gramEnd"/>
          </w:p>
        </w:tc>
        <w:tc>
          <w:tcPr>
            <w:tcW w:w="0" w:type="auto"/>
            <w:vAlign w:val="center"/>
            <w:hideMark/>
          </w:tcPr>
          <w:p w14:paraId="7F663D4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Según tabla de niveles de soporte aprobada</w:t>
            </w:r>
          </w:p>
        </w:tc>
      </w:tr>
      <w:tr w:rsidR="00160081" w:rsidRPr="00160081" w14:paraId="202A2E86" w14:textId="77777777" w:rsidTr="00BD3D91">
        <w:trPr>
          <w:trHeight w:val="561"/>
          <w:jc w:val="center"/>
        </w:trPr>
        <w:tc>
          <w:tcPr>
            <w:tcW w:w="0" w:type="auto"/>
            <w:vAlign w:val="center"/>
            <w:hideMark/>
          </w:tcPr>
          <w:p w14:paraId="58726A2C"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3</w:t>
            </w:r>
          </w:p>
        </w:tc>
        <w:tc>
          <w:tcPr>
            <w:tcW w:w="0" w:type="auto"/>
            <w:vAlign w:val="center"/>
            <w:hideMark/>
          </w:tcPr>
          <w:p w14:paraId="385FF180" w14:textId="77777777" w:rsidR="00160081" w:rsidRPr="00160081" w:rsidRDefault="00160081" w:rsidP="00BD3D91">
            <w:pPr>
              <w:rPr>
                <w:rFonts w:cstheme="minorHAnsi"/>
                <w:color w:val="000000"/>
                <w:sz w:val="20"/>
                <w:szCs w:val="20"/>
              </w:rPr>
            </w:pPr>
            <w:r w:rsidRPr="00160081">
              <w:rPr>
                <w:rFonts w:cstheme="minorHAnsi"/>
                <w:color w:val="000000"/>
                <w:sz w:val="20"/>
                <w:szCs w:val="20"/>
              </w:rPr>
              <w:t>Ejecución del mantenimiento preventivo</w:t>
            </w:r>
          </w:p>
        </w:tc>
        <w:tc>
          <w:tcPr>
            <w:tcW w:w="0" w:type="auto"/>
            <w:vAlign w:val="center"/>
            <w:hideMark/>
          </w:tcPr>
          <w:p w14:paraId="53C09B55"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Realizar mantenimiento preventivo aprobado, sin afectar la operación y cumpliendo el programa autorizado por el SRI.</w:t>
            </w:r>
          </w:p>
        </w:tc>
        <w:tc>
          <w:tcPr>
            <w:tcW w:w="0" w:type="auto"/>
            <w:vAlign w:val="center"/>
            <w:hideMark/>
          </w:tcPr>
          <w:p w14:paraId="1F13F1E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Ejecución del plan preventivo</w:t>
            </w:r>
          </w:p>
        </w:tc>
        <w:tc>
          <w:tcPr>
            <w:tcW w:w="0" w:type="auto"/>
            <w:vAlign w:val="center"/>
            <w:hideMark/>
          </w:tcPr>
          <w:p w14:paraId="5B35206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100% de las actividades preventivas ejecutadas y reportadas en el mes</w:t>
            </w:r>
          </w:p>
        </w:tc>
      </w:tr>
      <w:tr w:rsidR="00160081" w:rsidRPr="00160081" w14:paraId="6B7FCE30" w14:textId="77777777" w:rsidTr="00BD3D91">
        <w:trPr>
          <w:trHeight w:val="561"/>
          <w:jc w:val="center"/>
        </w:trPr>
        <w:tc>
          <w:tcPr>
            <w:tcW w:w="0" w:type="auto"/>
            <w:vAlign w:val="center"/>
            <w:hideMark/>
          </w:tcPr>
          <w:p w14:paraId="0D478940"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4</w:t>
            </w:r>
          </w:p>
        </w:tc>
        <w:tc>
          <w:tcPr>
            <w:tcW w:w="0" w:type="auto"/>
            <w:vAlign w:val="center"/>
            <w:hideMark/>
          </w:tcPr>
          <w:p w14:paraId="0C6903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Mantenimiento correctivo</w:t>
            </w:r>
          </w:p>
        </w:tc>
        <w:tc>
          <w:tcPr>
            <w:tcW w:w="0" w:type="auto"/>
            <w:vAlign w:val="center"/>
            <w:hideMark/>
          </w:tcPr>
          <w:p w14:paraId="33A75A19"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Resolver fallas técnicas conforme a los plazos y procedimientos aprobados.</w:t>
            </w:r>
          </w:p>
        </w:tc>
        <w:tc>
          <w:tcPr>
            <w:tcW w:w="0" w:type="auto"/>
            <w:vAlign w:val="center"/>
            <w:hideMark/>
          </w:tcPr>
          <w:p w14:paraId="36385064"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Tiempo de resolución por severidad</w:t>
            </w:r>
          </w:p>
        </w:tc>
        <w:tc>
          <w:tcPr>
            <w:tcW w:w="0" w:type="auto"/>
            <w:vAlign w:val="center"/>
            <w:hideMark/>
          </w:tcPr>
          <w:p w14:paraId="2970E7F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Cumplimiento del tiempo máximo establecido (N1, N2, N3, N4)</w:t>
            </w:r>
          </w:p>
        </w:tc>
      </w:tr>
      <w:tr w:rsidR="00160081" w:rsidRPr="00160081" w14:paraId="61B12B3C" w14:textId="77777777" w:rsidTr="00BD3D91">
        <w:trPr>
          <w:trHeight w:val="935"/>
          <w:jc w:val="center"/>
        </w:trPr>
        <w:tc>
          <w:tcPr>
            <w:tcW w:w="0" w:type="auto"/>
            <w:vAlign w:val="center"/>
            <w:hideMark/>
          </w:tcPr>
          <w:p w14:paraId="2115F104"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5</w:t>
            </w:r>
          </w:p>
        </w:tc>
        <w:tc>
          <w:tcPr>
            <w:tcW w:w="0" w:type="auto"/>
            <w:vAlign w:val="center"/>
            <w:hideMark/>
          </w:tcPr>
          <w:p w14:paraId="61CBD761" w14:textId="77777777" w:rsidR="00160081" w:rsidRPr="00160081" w:rsidRDefault="00160081" w:rsidP="00BD3D91">
            <w:pPr>
              <w:rPr>
                <w:rFonts w:cstheme="minorHAnsi"/>
                <w:color w:val="000000"/>
                <w:sz w:val="20"/>
                <w:szCs w:val="20"/>
              </w:rPr>
            </w:pPr>
            <w:r w:rsidRPr="00160081">
              <w:rPr>
                <w:rFonts w:cstheme="minorHAnsi"/>
                <w:color w:val="000000"/>
                <w:sz w:val="20"/>
                <w:szCs w:val="20"/>
              </w:rPr>
              <w:t>Cumplimiento del plan de trabajo y entregas aprobadas</w:t>
            </w:r>
          </w:p>
        </w:tc>
        <w:tc>
          <w:tcPr>
            <w:tcW w:w="0" w:type="auto"/>
            <w:vAlign w:val="center"/>
            <w:hideMark/>
          </w:tcPr>
          <w:p w14:paraId="6412958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El contratista deberá entregar cada producto o hito conforme al plan de trabajo aprobado por el SRI. </w:t>
            </w:r>
          </w:p>
          <w:p w14:paraId="37FF4E76" w14:textId="77777777" w:rsidR="00160081" w:rsidRPr="00160081" w:rsidRDefault="00160081" w:rsidP="00BD3D91">
            <w:pPr>
              <w:rPr>
                <w:rFonts w:cstheme="minorHAnsi"/>
                <w:color w:val="000000"/>
                <w:sz w:val="20"/>
                <w:szCs w:val="20"/>
              </w:rPr>
            </w:pPr>
          </w:p>
          <w:p w14:paraId="5871C65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Incluye configuraciones, artefactos de BPMS/BRMS/ ECM, documentación técnica y entregables funcionales de los proyectos SIAP, SGRT, </w:t>
            </w:r>
            <w:proofErr w:type="spellStart"/>
            <w:r w:rsidRPr="00160081">
              <w:rPr>
                <w:rFonts w:cstheme="minorHAnsi"/>
                <w:color w:val="000000"/>
                <w:sz w:val="20"/>
                <w:szCs w:val="20"/>
              </w:rPr>
              <w:t>SGDyEI</w:t>
            </w:r>
            <w:proofErr w:type="spellEnd"/>
            <w:r w:rsidRPr="00160081">
              <w:rPr>
                <w:rFonts w:cstheme="minorHAnsi"/>
                <w:color w:val="000000"/>
                <w:sz w:val="20"/>
                <w:szCs w:val="20"/>
              </w:rPr>
              <w:t xml:space="preserve"> y SRND.</w:t>
            </w:r>
          </w:p>
        </w:tc>
        <w:tc>
          <w:tcPr>
            <w:tcW w:w="0" w:type="auto"/>
            <w:vAlign w:val="center"/>
            <w:hideMark/>
          </w:tcPr>
          <w:p w14:paraId="1FD3617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Fecha de entrega por entregable</w:t>
            </w:r>
          </w:p>
        </w:tc>
        <w:tc>
          <w:tcPr>
            <w:tcW w:w="0" w:type="auto"/>
            <w:vAlign w:val="center"/>
            <w:hideMark/>
          </w:tcPr>
          <w:p w14:paraId="0B4E9B8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Entrega en la fecha comprometida y aceptada por el SRI</w:t>
            </w:r>
          </w:p>
        </w:tc>
      </w:tr>
      <w:tr w:rsidR="00160081" w:rsidRPr="00160081" w14:paraId="5A700B8C" w14:textId="77777777" w:rsidTr="00BD3D91">
        <w:trPr>
          <w:trHeight w:val="561"/>
          <w:jc w:val="center"/>
        </w:trPr>
        <w:tc>
          <w:tcPr>
            <w:tcW w:w="0" w:type="auto"/>
            <w:vAlign w:val="center"/>
            <w:hideMark/>
          </w:tcPr>
          <w:p w14:paraId="64D4888B"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6</w:t>
            </w:r>
          </w:p>
        </w:tc>
        <w:tc>
          <w:tcPr>
            <w:tcW w:w="0" w:type="auto"/>
            <w:vAlign w:val="center"/>
            <w:hideMark/>
          </w:tcPr>
          <w:p w14:paraId="48871DFA"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Reportes mensuales de soporte y operación</w:t>
            </w:r>
          </w:p>
        </w:tc>
        <w:tc>
          <w:tcPr>
            <w:tcW w:w="0" w:type="auto"/>
            <w:vAlign w:val="center"/>
            <w:hideMark/>
          </w:tcPr>
          <w:p w14:paraId="0295E5BA"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Entregar reportes con indicadores, incidentes, estado de ambientes de producción y contingencia, cambios aplicados y problemas recurrentes.</w:t>
            </w:r>
          </w:p>
        </w:tc>
        <w:tc>
          <w:tcPr>
            <w:tcW w:w="0" w:type="auto"/>
            <w:vAlign w:val="center"/>
            <w:hideMark/>
          </w:tcPr>
          <w:p w14:paraId="4B9AC53F"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Entrega mensual del informe</w:t>
            </w:r>
          </w:p>
        </w:tc>
        <w:tc>
          <w:tcPr>
            <w:tcW w:w="0" w:type="auto"/>
            <w:vAlign w:val="center"/>
            <w:hideMark/>
          </w:tcPr>
          <w:p w14:paraId="0B8DCFF8"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Entrega completa dentro de los primeros 5 días hábiles del mes</w:t>
            </w:r>
          </w:p>
        </w:tc>
      </w:tr>
    </w:tbl>
    <w:p w14:paraId="1777EB61" w14:textId="77777777" w:rsidR="00160081" w:rsidRPr="00160081" w:rsidRDefault="00160081" w:rsidP="00160081">
      <w:pPr>
        <w:rPr>
          <w:rFonts w:cstheme="minorHAnsi"/>
          <w:sz w:val="20"/>
          <w:szCs w:val="20"/>
        </w:rPr>
      </w:pPr>
    </w:p>
    <w:p w14:paraId="6E8DA2D4" w14:textId="77777777" w:rsidR="00160081" w:rsidRDefault="00160081" w:rsidP="00160081">
      <w:pPr>
        <w:rPr>
          <w:rFonts w:cstheme="minorHAnsi"/>
          <w:sz w:val="20"/>
          <w:szCs w:val="20"/>
        </w:rPr>
      </w:pPr>
      <w:r w:rsidRPr="00160081">
        <w:rPr>
          <w:rFonts w:cstheme="minorHAnsi"/>
          <w:sz w:val="20"/>
          <w:szCs w:val="20"/>
        </w:rPr>
        <w:t>Las penalizaciones por el no cumplimiento de los umbrales mínimos aceptables se encuentran descritos en el numeral 17 de este documento.</w:t>
      </w:r>
    </w:p>
    <w:p w14:paraId="42BD03A9" w14:textId="77777777" w:rsidR="00616507" w:rsidRPr="00160081" w:rsidRDefault="00616507" w:rsidP="00160081">
      <w:pPr>
        <w:rPr>
          <w:rFonts w:cstheme="minorHAnsi"/>
          <w:sz w:val="20"/>
          <w:szCs w:val="20"/>
        </w:rPr>
      </w:pPr>
    </w:p>
    <w:p w14:paraId="45C1E14F"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000000" w:themeColor="text1"/>
          <w:sz w:val="20"/>
          <w:szCs w:val="20"/>
        </w:rPr>
      </w:pPr>
      <w:bookmarkStart w:id="104" w:name="_Toc217326226"/>
      <w:r w:rsidRPr="00160081">
        <w:rPr>
          <w:rFonts w:asciiTheme="minorHAnsi" w:eastAsia="Times New Roman" w:hAnsiTheme="minorHAnsi" w:cstheme="minorHAnsi"/>
          <w:b/>
          <w:bCs/>
          <w:color w:val="auto"/>
          <w:sz w:val="20"/>
          <w:szCs w:val="20"/>
        </w:rPr>
        <w:t>Servicios conexos requeridos</w:t>
      </w:r>
      <w:bookmarkEnd w:id="104"/>
    </w:p>
    <w:p w14:paraId="6370A5BC"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05" w:name="_Toc216200107"/>
      <w:bookmarkStart w:id="106" w:name="_Toc217326227"/>
      <w:r w:rsidRPr="00160081">
        <w:rPr>
          <w:rFonts w:asciiTheme="minorHAnsi" w:eastAsia="Times New Roman" w:hAnsiTheme="minorHAnsi" w:cstheme="minorHAnsi"/>
          <w:b/>
          <w:bCs/>
          <w:color w:val="000000" w:themeColor="text1"/>
          <w:sz w:val="20"/>
          <w:szCs w:val="20"/>
        </w:rPr>
        <w:t>9.1 Reporte y monitoreo</w:t>
      </w:r>
      <w:bookmarkEnd w:id="105"/>
      <w:bookmarkEnd w:id="106"/>
    </w:p>
    <w:p w14:paraId="73931328" w14:textId="77777777" w:rsidR="00160081" w:rsidRPr="00160081" w:rsidRDefault="00160081" w:rsidP="00160081">
      <w:pPr>
        <w:jc w:val="both"/>
        <w:rPr>
          <w:rFonts w:cstheme="minorHAnsi"/>
          <w:sz w:val="20"/>
          <w:szCs w:val="20"/>
        </w:rPr>
      </w:pPr>
    </w:p>
    <w:p w14:paraId="6C52DB04" w14:textId="77777777" w:rsidR="00160081" w:rsidRPr="00160081" w:rsidRDefault="00160081" w:rsidP="00160081">
      <w:pPr>
        <w:jc w:val="both"/>
        <w:rPr>
          <w:rFonts w:cstheme="minorHAnsi"/>
          <w:sz w:val="20"/>
          <w:szCs w:val="20"/>
        </w:rPr>
      </w:pPr>
      <w:r w:rsidRPr="00160081">
        <w:rPr>
          <w:rFonts w:cstheme="minorHAnsi"/>
          <w:sz w:val="20"/>
          <w:szCs w:val="20"/>
        </w:rPr>
        <w:t>El contratista deberá proveer un esquema robusto, continuo y verificable de reporte, monitoreo y seguimiento, indispensable para garantizar la correcta operación de la suite, la trazabilidad del servicio, la gestión oportuna de incidentes y la evaluación del cumplimiento de los ANS.</w:t>
      </w:r>
    </w:p>
    <w:p w14:paraId="10759332" w14:textId="77777777" w:rsidR="00160081" w:rsidRPr="00160081" w:rsidRDefault="00160081" w:rsidP="00160081">
      <w:pPr>
        <w:jc w:val="both"/>
        <w:rPr>
          <w:rFonts w:cstheme="minorHAnsi"/>
          <w:sz w:val="20"/>
          <w:szCs w:val="20"/>
        </w:rPr>
      </w:pPr>
      <w:r w:rsidRPr="00160081">
        <w:rPr>
          <w:rFonts w:cstheme="minorHAnsi"/>
          <w:sz w:val="20"/>
          <w:szCs w:val="20"/>
        </w:rPr>
        <w:t xml:space="preserve">Todos los reportes deberán ser entregados en los formatos elaborados por el contratista y aprobados previamente por el SRI, contener la totalidad de los indicadores definidos contractualmente e incluir evidencia exportable desde la suite o sus componentes. </w:t>
      </w:r>
    </w:p>
    <w:p w14:paraId="5A5E9D4E" w14:textId="77777777" w:rsidR="00160081" w:rsidRPr="00160081" w:rsidRDefault="00160081" w:rsidP="00160081">
      <w:pPr>
        <w:jc w:val="both"/>
        <w:rPr>
          <w:rFonts w:cstheme="minorHAnsi"/>
          <w:sz w:val="20"/>
          <w:szCs w:val="20"/>
        </w:rPr>
      </w:pPr>
      <w:r w:rsidRPr="00160081">
        <w:rPr>
          <w:rFonts w:cstheme="minorHAnsi"/>
          <w:sz w:val="20"/>
          <w:szCs w:val="20"/>
        </w:rPr>
        <w:t>El incumplimiento en la entrega de reportes o la entrega incompleta o inconsistente constituirá causal de no conformidad y aplicará las penalidades previstas en los ANS.</w:t>
      </w:r>
    </w:p>
    <w:p w14:paraId="0B49B8E4" w14:textId="77777777" w:rsidR="00160081" w:rsidRPr="00160081" w:rsidRDefault="00160081" w:rsidP="00160081">
      <w:pPr>
        <w:jc w:val="both"/>
        <w:rPr>
          <w:rFonts w:cstheme="minorHAnsi"/>
          <w:sz w:val="20"/>
          <w:szCs w:val="20"/>
        </w:rPr>
      </w:pPr>
      <w:r w:rsidRPr="00160081">
        <w:rPr>
          <w:rFonts w:cstheme="minorHAnsi"/>
          <w:sz w:val="20"/>
          <w:szCs w:val="20"/>
        </w:rPr>
        <w:t>Las obligaciones de reporte y monitoreo son las siguientes: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1823"/>
        <w:gridCol w:w="5596"/>
      </w:tblGrid>
      <w:tr w:rsidR="00160081" w:rsidRPr="00160081" w14:paraId="0F97BE7F" w14:textId="77777777" w:rsidTr="00BD3D91">
        <w:trPr>
          <w:trHeight w:val="220"/>
          <w:tblHeader/>
          <w:jc w:val="center"/>
        </w:trPr>
        <w:tc>
          <w:tcPr>
            <w:tcW w:w="0" w:type="auto"/>
            <w:vAlign w:val="center"/>
            <w:hideMark/>
          </w:tcPr>
          <w:p w14:paraId="0193229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No.</w:t>
            </w:r>
          </w:p>
        </w:tc>
        <w:tc>
          <w:tcPr>
            <w:tcW w:w="0" w:type="auto"/>
            <w:vAlign w:val="center"/>
            <w:hideMark/>
          </w:tcPr>
          <w:p w14:paraId="04A3004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 xml:space="preserve">Obligación </w:t>
            </w:r>
          </w:p>
        </w:tc>
        <w:tc>
          <w:tcPr>
            <w:tcW w:w="0" w:type="auto"/>
            <w:vAlign w:val="center"/>
            <w:hideMark/>
          </w:tcPr>
          <w:p w14:paraId="7C4F771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r>
      <w:tr w:rsidR="00160081" w:rsidRPr="00160081" w14:paraId="6B8C8677" w14:textId="77777777" w:rsidTr="00BD3D91">
        <w:trPr>
          <w:trHeight w:val="551"/>
          <w:jc w:val="center"/>
        </w:trPr>
        <w:tc>
          <w:tcPr>
            <w:tcW w:w="0" w:type="auto"/>
            <w:vAlign w:val="center"/>
            <w:hideMark/>
          </w:tcPr>
          <w:p w14:paraId="4B73D757"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1</w:t>
            </w:r>
          </w:p>
        </w:tc>
        <w:tc>
          <w:tcPr>
            <w:tcW w:w="0" w:type="auto"/>
            <w:vAlign w:val="center"/>
            <w:hideMark/>
          </w:tcPr>
          <w:p w14:paraId="36191034"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Reportes mensuales de soporte y operación</w:t>
            </w:r>
          </w:p>
        </w:tc>
        <w:tc>
          <w:tcPr>
            <w:tcW w:w="0" w:type="auto"/>
            <w:vAlign w:val="center"/>
            <w:hideMark/>
          </w:tcPr>
          <w:p w14:paraId="7A8F6E6F"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Entregar informes mensuales con indicadores, incidentes atendidos, incidentes abiertos, tiempos promedio de respuesta y resolución, problemas recurrentes, acciones correctivas aplicadas, tendencias y backlog técnico.</w:t>
            </w:r>
          </w:p>
        </w:tc>
      </w:tr>
      <w:tr w:rsidR="00160081" w:rsidRPr="00160081" w14:paraId="334F7048" w14:textId="77777777" w:rsidTr="00BD3D91">
        <w:trPr>
          <w:trHeight w:val="661"/>
          <w:jc w:val="center"/>
        </w:trPr>
        <w:tc>
          <w:tcPr>
            <w:tcW w:w="0" w:type="auto"/>
            <w:vAlign w:val="center"/>
            <w:hideMark/>
          </w:tcPr>
          <w:p w14:paraId="090F8409"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2</w:t>
            </w:r>
          </w:p>
        </w:tc>
        <w:tc>
          <w:tcPr>
            <w:tcW w:w="0" w:type="auto"/>
            <w:vAlign w:val="center"/>
            <w:hideMark/>
          </w:tcPr>
          <w:p w14:paraId="33490A0A"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mensual de mantenimiento preventivo</w:t>
            </w:r>
          </w:p>
        </w:tc>
        <w:tc>
          <w:tcPr>
            <w:tcW w:w="0" w:type="auto"/>
            <w:vAlign w:val="center"/>
            <w:hideMark/>
          </w:tcPr>
          <w:p w14:paraId="1412E106"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Presentar evidencia del cumplimiento del programa de mantenimiento preventivo aprobado por el SRI, incluyendo actividades ejecutadas, ventanas utilizadas, componentes intervenidos, hallazgos, recomendaciones y próximos hitos.</w:t>
            </w:r>
          </w:p>
        </w:tc>
      </w:tr>
      <w:tr w:rsidR="00160081" w:rsidRPr="00160081" w14:paraId="33D75E34" w14:textId="77777777" w:rsidTr="00BD3D91">
        <w:trPr>
          <w:trHeight w:val="497"/>
          <w:jc w:val="center"/>
        </w:trPr>
        <w:tc>
          <w:tcPr>
            <w:tcW w:w="0" w:type="auto"/>
            <w:vAlign w:val="center"/>
            <w:hideMark/>
          </w:tcPr>
          <w:p w14:paraId="0993507A"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3</w:t>
            </w:r>
          </w:p>
        </w:tc>
        <w:tc>
          <w:tcPr>
            <w:tcW w:w="0" w:type="auto"/>
            <w:vAlign w:val="center"/>
            <w:hideMark/>
          </w:tcPr>
          <w:p w14:paraId="73831562"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de mantenimiento correctivo</w:t>
            </w:r>
          </w:p>
        </w:tc>
        <w:tc>
          <w:tcPr>
            <w:tcW w:w="0" w:type="auto"/>
            <w:vAlign w:val="center"/>
            <w:hideMark/>
          </w:tcPr>
          <w:p w14:paraId="06D8523B" w14:textId="77777777" w:rsidR="00160081" w:rsidRPr="00160081" w:rsidRDefault="00160081" w:rsidP="00BD3D91">
            <w:pPr>
              <w:rPr>
                <w:rFonts w:cstheme="minorHAnsi"/>
                <w:color w:val="000000"/>
                <w:sz w:val="20"/>
                <w:szCs w:val="20"/>
              </w:rPr>
            </w:pPr>
            <w:r w:rsidRPr="00160081">
              <w:rPr>
                <w:rFonts w:cstheme="minorHAnsi"/>
                <w:color w:val="000000"/>
                <w:sz w:val="20"/>
                <w:szCs w:val="20"/>
              </w:rPr>
              <w:t>Documentar cada incidente correctivo incluyendo causa raíz, impacto, acciones aplicadas, evidencia del restablecimiento del servicio, tiempos utilizados para cada fase y medidas de prevención.</w:t>
            </w:r>
          </w:p>
        </w:tc>
      </w:tr>
      <w:tr w:rsidR="00160081" w:rsidRPr="00160081" w14:paraId="35D2B1AD" w14:textId="77777777" w:rsidTr="00BD3D91">
        <w:trPr>
          <w:trHeight w:val="661"/>
          <w:jc w:val="center"/>
        </w:trPr>
        <w:tc>
          <w:tcPr>
            <w:tcW w:w="0" w:type="auto"/>
            <w:vAlign w:val="center"/>
            <w:hideMark/>
          </w:tcPr>
          <w:p w14:paraId="6845B047"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4</w:t>
            </w:r>
          </w:p>
        </w:tc>
        <w:tc>
          <w:tcPr>
            <w:tcW w:w="0" w:type="auto"/>
            <w:vAlign w:val="center"/>
            <w:hideMark/>
          </w:tcPr>
          <w:p w14:paraId="54888742"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de la bolsa evolutiva</w:t>
            </w:r>
          </w:p>
        </w:tc>
        <w:tc>
          <w:tcPr>
            <w:tcW w:w="0" w:type="auto"/>
            <w:vAlign w:val="center"/>
            <w:hideMark/>
          </w:tcPr>
          <w:p w14:paraId="14B9C54C"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Presentar el estado de uso de las horas evolutivas: horas consumidas, horas restantes, cambios aprobados, entregables asociados, estimaciones presentadas, plan de ejecución y evidencias de la liberación en el ambiente productivo.</w:t>
            </w:r>
          </w:p>
        </w:tc>
      </w:tr>
      <w:tr w:rsidR="00160081" w:rsidRPr="00160081" w14:paraId="411EF1C3" w14:textId="77777777" w:rsidTr="00BD3D91">
        <w:trPr>
          <w:trHeight w:val="661"/>
          <w:jc w:val="center"/>
        </w:trPr>
        <w:tc>
          <w:tcPr>
            <w:tcW w:w="0" w:type="auto"/>
            <w:vAlign w:val="center"/>
            <w:hideMark/>
          </w:tcPr>
          <w:p w14:paraId="6EF7151C"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5</w:t>
            </w:r>
          </w:p>
        </w:tc>
        <w:tc>
          <w:tcPr>
            <w:tcW w:w="0" w:type="auto"/>
            <w:vAlign w:val="center"/>
            <w:hideMark/>
          </w:tcPr>
          <w:p w14:paraId="17F1B628"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de cumplimiento de ANS</w:t>
            </w:r>
          </w:p>
        </w:tc>
        <w:tc>
          <w:tcPr>
            <w:tcW w:w="0" w:type="auto"/>
            <w:vAlign w:val="center"/>
            <w:hideMark/>
          </w:tcPr>
          <w:p w14:paraId="2EE5CE0F"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Entregar mensualmente un informe consolidado de desempeño frente a los ANS contractualmente establecidos, indicando: cumplimiento/no cumplimiento, cálculo detallado por indicador, penalidades aplicables y justificaciones.</w:t>
            </w:r>
          </w:p>
        </w:tc>
      </w:tr>
      <w:tr w:rsidR="00160081" w:rsidRPr="00160081" w14:paraId="15D8335E" w14:textId="77777777" w:rsidTr="00BD3D91">
        <w:trPr>
          <w:trHeight w:val="778"/>
          <w:jc w:val="center"/>
        </w:trPr>
        <w:tc>
          <w:tcPr>
            <w:tcW w:w="0" w:type="auto"/>
            <w:vAlign w:val="center"/>
            <w:hideMark/>
          </w:tcPr>
          <w:p w14:paraId="5B2D9749"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6</w:t>
            </w:r>
          </w:p>
        </w:tc>
        <w:tc>
          <w:tcPr>
            <w:tcW w:w="0" w:type="auto"/>
            <w:vAlign w:val="center"/>
            <w:hideMark/>
          </w:tcPr>
          <w:p w14:paraId="7F11B65D" w14:textId="77777777" w:rsidR="00160081" w:rsidRPr="00160081" w:rsidRDefault="00160081" w:rsidP="00BD3D91">
            <w:pPr>
              <w:rPr>
                <w:rFonts w:cstheme="minorHAnsi"/>
                <w:color w:val="000000"/>
                <w:sz w:val="20"/>
                <w:szCs w:val="20"/>
              </w:rPr>
            </w:pPr>
            <w:r w:rsidRPr="00160081">
              <w:rPr>
                <w:rFonts w:cstheme="minorHAnsi"/>
                <w:color w:val="000000"/>
                <w:sz w:val="20"/>
                <w:szCs w:val="20"/>
              </w:rPr>
              <w:t>Monitoreo continuo 24/7</w:t>
            </w:r>
          </w:p>
        </w:tc>
        <w:tc>
          <w:tcPr>
            <w:tcW w:w="0" w:type="auto"/>
            <w:vAlign w:val="center"/>
            <w:hideMark/>
          </w:tcPr>
          <w:p w14:paraId="658E0EB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Asegurar el funcionamiento ininterrumpido de mecanismos de monitoreo en tiempo real sobre los componentes principales de la solución, servicios, </w:t>
            </w:r>
            <w:proofErr w:type="spellStart"/>
            <w:r w:rsidRPr="00160081">
              <w:rPr>
                <w:rFonts w:cstheme="minorHAnsi"/>
                <w:color w:val="000000"/>
                <w:sz w:val="20"/>
                <w:szCs w:val="20"/>
              </w:rPr>
              <w:t>APIs</w:t>
            </w:r>
            <w:proofErr w:type="spellEnd"/>
            <w:r w:rsidRPr="00160081">
              <w:rPr>
                <w:rFonts w:cstheme="minorHAnsi"/>
                <w:color w:val="000000"/>
                <w:sz w:val="20"/>
                <w:szCs w:val="20"/>
              </w:rPr>
              <w:t>, bases de datos, colas y conectores. Incluir métricas de rendimiento, disponibilidad, errores, consumo de recursos y salud del sistema.</w:t>
            </w:r>
          </w:p>
        </w:tc>
      </w:tr>
      <w:tr w:rsidR="00160081" w:rsidRPr="00160081" w14:paraId="4DBA28A9" w14:textId="77777777" w:rsidTr="00BD3D91">
        <w:trPr>
          <w:trHeight w:val="661"/>
          <w:jc w:val="center"/>
        </w:trPr>
        <w:tc>
          <w:tcPr>
            <w:tcW w:w="0" w:type="auto"/>
            <w:vAlign w:val="center"/>
            <w:hideMark/>
          </w:tcPr>
          <w:p w14:paraId="2237544C"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7</w:t>
            </w:r>
          </w:p>
        </w:tc>
        <w:tc>
          <w:tcPr>
            <w:tcW w:w="0" w:type="auto"/>
            <w:vAlign w:val="center"/>
            <w:hideMark/>
          </w:tcPr>
          <w:p w14:paraId="3FA9B57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Paneles y </w:t>
            </w:r>
            <w:proofErr w:type="spellStart"/>
            <w:r w:rsidRPr="00160081">
              <w:rPr>
                <w:rFonts w:cstheme="minorHAnsi"/>
                <w:color w:val="000000"/>
                <w:sz w:val="20"/>
                <w:szCs w:val="20"/>
              </w:rPr>
              <w:t>dashboards</w:t>
            </w:r>
            <w:proofErr w:type="spellEnd"/>
            <w:r w:rsidRPr="00160081">
              <w:rPr>
                <w:rFonts w:cstheme="minorHAnsi"/>
                <w:color w:val="000000"/>
                <w:sz w:val="20"/>
                <w:szCs w:val="20"/>
              </w:rPr>
              <w:t xml:space="preserve"> operativos</w:t>
            </w:r>
          </w:p>
        </w:tc>
        <w:tc>
          <w:tcPr>
            <w:tcW w:w="0" w:type="auto"/>
            <w:vAlign w:val="center"/>
            <w:hideMark/>
          </w:tcPr>
          <w:p w14:paraId="6CA33F2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Proveer </w:t>
            </w:r>
            <w:proofErr w:type="spellStart"/>
            <w:r w:rsidRPr="00160081">
              <w:rPr>
                <w:rFonts w:cstheme="minorHAnsi"/>
                <w:color w:val="000000"/>
                <w:sz w:val="20"/>
                <w:szCs w:val="20"/>
              </w:rPr>
              <w:t>dashboards</w:t>
            </w:r>
            <w:proofErr w:type="spellEnd"/>
            <w:r w:rsidRPr="00160081">
              <w:rPr>
                <w:rFonts w:cstheme="minorHAnsi"/>
                <w:color w:val="000000"/>
                <w:sz w:val="20"/>
                <w:szCs w:val="20"/>
              </w:rPr>
              <w:t xml:space="preserve"> configurados para el SRI, con visualización en tiempo real de métricas críticas: disponibilidad, latencia de </w:t>
            </w:r>
            <w:proofErr w:type="spellStart"/>
            <w:r w:rsidRPr="00160081">
              <w:rPr>
                <w:rFonts w:cstheme="minorHAnsi"/>
                <w:color w:val="000000"/>
                <w:sz w:val="20"/>
                <w:szCs w:val="20"/>
              </w:rPr>
              <w:t>APIs</w:t>
            </w:r>
            <w:proofErr w:type="spellEnd"/>
            <w:r w:rsidRPr="00160081">
              <w:rPr>
                <w:rFonts w:cstheme="minorHAnsi"/>
                <w:color w:val="000000"/>
                <w:sz w:val="20"/>
                <w:szCs w:val="20"/>
              </w:rPr>
              <w:t>, carga de procesos BPM, ejecución de reglas BRMS, colas de mensajería, almacenamiento, logs y eventos de seguridad. Que sean también compatible con las herramientas de monitoreo utilizadas por el SRI.</w:t>
            </w:r>
          </w:p>
        </w:tc>
      </w:tr>
      <w:tr w:rsidR="00160081" w:rsidRPr="00160081" w14:paraId="0BA7940B" w14:textId="77777777" w:rsidTr="00BD3D91">
        <w:trPr>
          <w:trHeight w:val="661"/>
          <w:jc w:val="center"/>
        </w:trPr>
        <w:tc>
          <w:tcPr>
            <w:tcW w:w="0" w:type="auto"/>
            <w:vAlign w:val="center"/>
            <w:hideMark/>
          </w:tcPr>
          <w:p w14:paraId="79B6BA7A"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8</w:t>
            </w:r>
          </w:p>
        </w:tc>
        <w:tc>
          <w:tcPr>
            <w:tcW w:w="0" w:type="auto"/>
            <w:vAlign w:val="center"/>
            <w:hideMark/>
          </w:tcPr>
          <w:p w14:paraId="721CC76A" w14:textId="77777777" w:rsidR="00160081" w:rsidRPr="00160081" w:rsidRDefault="00160081" w:rsidP="00BD3D91">
            <w:pPr>
              <w:rPr>
                <w:rFonts w:cstheme="minorHAnsi"/>
                <w:color w:val="000000"/>
                <w:sz w:val="20"/>
                <w:szCs w:val="20"/>
              </w:rPr>
            </w:pPr>
            <w:r w:rsidRPr="00160081">
              <w:rPr>
                <w:rFonts w:cstheme="minorHAnsi"/>
                <w:color w:val="000000"/>
                <w:sz w:val="20"/>
                <w:szCs w:val="20"/>
              </w:rPr>
              <w:t>Alertas tempranas automáticas</w:t>
            </w:r>
          </w:p>
        </w:tc>
        <w:tc>
          <w:tcPr>
            <w:tcW w:w="0" w:type="auto"/>
            <w:vAlign w:val="center"/>
            <w:hideMark/>
          </w:tcPr>
          <w:p w14:paraId="551B1954"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Configurar alertas automáticas ante degradaciones, fallos, eventos de seguridad, saturación de recursos, errores recurrentes o cualquier condición que comprometa la estabilidad. Las alertas deberán enviarse al equipo designado por el SRI.</w:t>
            </w:r>
          </w:p>
        </w:tc>
      </w:tr>
      <w:tr w:rsidR="00160081" w:rsidRPr="00160081" w14:paraId="7EC4AF4F" w14:textId="77777777" w:rsidTr="00BD3D91">
        <w:trPr>
          <w:trHeight w:val="661"/>
          <w:jc w:val="center"/>
        </w:trPr>
        <w:tc>
          <w:tcPr>
            <w:tcW w:w="0" w:type="auto"/>
            <w:vAlign w:val="center"/>
            <w:hideMark/>
          </w:tcPr>
          <w:p w14:paraId="36E72C62"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9</w:t>
            </w:r>
          </w:p>
        </w:tc>
        <w:tc>
          <w:tcPr>
            <w:tcW w:w="0" w:type="auto"/>
            <w:vAlign w:val="center"/>
            <w:hideMark/>
          </w:tcPr>
          <w:p w14:paraId="5D9E82E4"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de uso de la suite y demanda operativa</w:t>
            </w:r>
          </w:p>
        </w:tc>
        <w:tc>
          <w:tcPr>
            <w:tcW w:w="0" w:type="auto"/>
            <w:vAlign w:val="center"/>
            <w:hideMark/>
          </w:tcPr>
          <w:p w14:paraId="2510561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Incluir estadísticas de uso: procesos ejecutados, reglas evaluadas, documentos generados/almacenados, tiempos de ciclo BPM, llamadas a </w:t>
            </w:r>
            <w:proofErr w:type="spellStart"/>
            <w:r w:rsidRPr="00160081">
              <w:rPr>
                <w:rFonts w:cstheme="minorHAnsi"/>
                <w:color w:val="000000"/>
                <w:sz w:val="20"/>
                <w:szCs w:val="20"/>
              </w:rPr>
              <w:t>APIs</w:t>
            </w:r>
            <w:proofErr w:type="spellEnd"/>
            <w:r w:rsidRPr="00160081">
              <w:rPr>
                <w:rFonts w:cstheme="minorHAnsi"/>
                <w:color w:val="000000"/>
                <w:sz w:val="20"/>
                <w:szCs w:val="20"/>
              </w:rPr>
              <w:t>, volúmenes de almacenamiento, entre otros indicadores que permitan evaluar la evolución de la demanda.</w:t>
            </w:r>
          </w:p>
        </w:tc>
      </w:tr>
      <w:tr w:rsidR="00160081" w:rsidRPr="00160081" w14:paraId="003A2EF7" w14:textId="77777777" w:rsidTr="00BD3D91">
        <w:trPr>
          <w:trHeight w:val="661"/>
          <w:jc w:val="center"/>
        </w:trPr>
        <w:tc>
          <w:tcPr>
            <w:tcW w:w="0" w:type="auto"/>
            <w:vAlign w:val="center"/>
            <w:hideMark/>
          </w:tcPr>
          <w:p w14:paraId="5A8677E9" w14:textId="77777777" w:rsidR="00160081" w:rsidRPr="00160081" w:rsidRDefault="00160081" w:rsidP="00BD3D91">
            <w:pPr>
              <w:jc w:val="right"/>
              <w:rPr>
                <w:rFonts w:cstheme="minorHAnsi"/>
                <w:color w:val="000000"/>
                <w:sz w:val="20"/>
                <w:szCs w:val="20"/>
              </w:rPr>
            </w:pPr>
            <w:r w:rsidRPr="00160081">
              <w:rPr>
                <w:rFonts w:cstheme="minorHAnsi"/>
                <w:color w:val="000000"/>
                <w:sz w:val="20"/>
                <w:szCs w:val="20"/>
              </w:rPr>
              <w:t>10</w:t>
            </w:r>
          </w:p>
        </w:tc>
        <w:tc>
          <w:tcPr>
            <w:tcW w:w="0" w:type="auto"/>
            <w:vAlign w:val="center"/>
            <w:hideMark/>
          </w:tcPr>
          <w:p w14:paraId="73B31C8E"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Reporte final anual del servicio</w:t>
            </w:r>
          </w:p>
        </w:tc>
        <w:tc>
          <w:tcPr>
            <w:tcW w:w="0" w:type="auto"/>
            <w:vAlign w:val="center"/>
            <w:hideMark/>
          </w:tcPr>
          <w:p w14:paraId="395B578B"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Presentar una evaluación integral anual del desempeño del servicio, tendencias, cumplimiento de ANS, incidentes, mejoras implementadas, riesgos pendientes y recomendaciones para el siguiente período.</w:t>
            </w:r>
          </w:p>
        </w:tc>
      </w:tr>
    </w:tbl>
    <w:p w14:paraId="501505E2" w14:textId="77777777" w:rsidR="00160081" w:rsidRPr="00160081" w:rsidRDefault="00160081" w:rsidP="00160081">
      <w:pPr>
        <w:rPr>
          <w:rFonts w:cstheme="minorHAnsi"/>
          <w:sz w:val="20"/>
          <w:szCs w:val="20"/>
        </w:rPr>
      </w:pPr>
    </w:p>
    <w:p w14:paraId="518FA14B"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07" w:name="_Toc217326228"/>
      <w:r w:rsidRPr="00160081">
        <w:rPr>
          <w:rFonts w:asciiTheme="minorHAnsi" w:eastAsia="Times New Roman" w:hAnsiTheme="minorHAnsi" w:cstheme="minorHAnsi"/>
          <w:b/>
          <w:bCs/>
          <w:color w:val="000000" w:themeColor="text1"/>
          <w:sz w:val="20"/>
          <w:szCs w:val="20"/>
        </w:rPr>
        <w:t>9.2 Metodología de implementación de casos de uso en BPMS</w:t>
      </w:r>
      <w:bookmarkEnd w:id="107"/>
    </w:p>
    <w:p w14:paraId="7E4EF07A" w14:textId="77777777" w:rsidR="00616507" w:rsidRDefault="00616507" w:rsidP="00160081">
      <w:pPr>
        <w:jc w:val="both"/>
        <w:rPr>
          <w:rFonts w:cstheme="minorHAnsi"/>
          <w:sz w:val="20"/>
          <w:szCs w:val="20"/>
        </w:rPr>
      </w:pPr>
    </w:p>
    <w:p w14:paraId="37D46D90" w14:textId="7EBEF1CB" w:rsidR="00160081" w:rsidRPr="00160081" w:rsidRDefault="00160081" w:rsidP="00160081">
      <w:pPr>
        <w:jc w:val="both"/>
        <w:rPr>
          <w:rFonts w:cstheme="minorHAnsi"/>
          <w:sz w:val="20"/>
          <w:szCs w:val="20"/>
        </w:rPr>
      </w:pPr>
      <w:r w:rsidRPr="00160081">
        <w:rPr>
          <w:rFonts w:cstheme="minorHAnsi"/>
          <w:sz w:val="20"/>
          <w:szCs w:val="20"/>
        </w:rPr>
        <w:t>El presente apartado establece las disposiciones obligatorias que regirán la definición, documentación, implementación y seguimiento de la metodología de implementación de casos de uso en el BPMS. Dicha metodología deberá constituirse como un marco formal, estructurado y verificable que garantice la correcta gestión del ciclo de vida de los procesos de negocio automatizados, asegurando su alineación con los principios de Business Process Management (BPM), el uso del estándar BPMN 2.0 y las demás prácticas definidas por el SRI.</w:t>
      </w:r>
    </w:p>
    <w:p w14:paraId="6B7C0234" w14:textId="77777777" w:rsidR="00160081" w:rsidRPr="00160081" w:rsidRDefault="00160081" w:rsidP="00160081">
      <w:pPr>
        <w:jc w:val="both"/>
        <w:rPr>
          <w:rFonts w:cstheme="minorHAnsi"/>
          <w:sz w:val="20"/>
          <w:szCs w:val="20"/>
        </w:rPr>
      </w:pPr>
    </w:p>
    <w:p w14:paraId="0F6D7D61" w14:textId="77777777" w:rsidR="00160081" w:rsidRPr="00160081" w:rsidRDefault="00160081" w:rsidP="00160081">
      <w:pPr>
        <w:jc w:val="both"/>
        <w:rPr>
          <w:rFonts w:cstheme="minorHAnsi"/>
          <w:sz w:val="20"/>
          <w:szCs w:val="20"/>
        </w:rPr>
      </w:pPr>
      <w:r w:rsidRPr="00160081">
        <w:rPr>
          <w:rFonts w:cstheme="minorHAnsi"/>
          <w:sz w:val="20"/>
          <w:szCs w:val="20"/>
        </w:rPr>
        <w:t>La metodología deberá ser diseñada, documentada y aplicada por el contratista como parte integral del proyecto, y deberá permitir al SRI contar con un modelo homogéneo, auditable y sostenible para la gestión de procesos, la administración del BPMS y la incorporación controlada de nuevos casos de uso, garantizando la trazabilidad, el control de versiones, la calidad de los entregables y la continuidad operativa de la solución.</w:t>
      </w:r>
    </w:p>
    <w:p w14:paraId="766FA8B5" w14:textId="77777777" w:rsidR="00160081" w:rsidRPr="00160081" w:rsidRDefault="00160081" w:rsidP="00160081">
      <w:pPr>
        <w:jc w:val="both"/>
        <w:rPr>
          <w:rFonts w:cstheme="minorHAnsi"/>
          <w:sz w:val="20"/>
          <w:szCs w:val="20"/>
        </w:rPr>
      </w:pPr>
    </w:p>
    <w:p w14:paraId="34A829FB" w14:textId="77777777" w:rsidR="00160081" w:rsidRPr="00160081" w:rsidRDefault="00160081" w:rsidP="00160081">
      <w:pPr>
        <w:jc w:val="both"/>
        <w:rPr>
          <w:rFonts w:cstheme="minorHAnsi"/>
          <w:sz w:val="20"/>
          <w:szCs w:val="20"/>
        </w:rPr>
      </w:pPr>
      <w:r w:rsidRPr="00160081">
        <w:rPr>
          <w:rFonts w:cstheme="minorHAnsi"/>
          <w:sz w:val="20"/>
          <w:szCs w:val="20"/>
        </w:rPr>
        <w:t xml:space="preserve">En este sentido el contratista deberá diseñar, documentar, implementar y reportar una metodología formal para la gestión integral del BPMS, alineada a BPM (Business Process Management) y BPMN 2.0, que cubra como mínimo: </w:t>
      </w:r>
    </w:p>
    <w:p w14:paraId="0D99B808" w14:textId="77777777" w:rsidR="00160081" w:rsidRPr="00160081" w:rsidRDefault="00160081" w:rsidP="00160081">
      <w:pPr>
        <w:pStyle w:val="Prrafodelista"/>
        <w:numPr>
          <w:ilvl w:val="3"/>
          <w:numId w:val="78"/>
        </w:numPr>
        <w:spacing w:after="0" w:line="240" w:lineRule="auto"/>
        <w:ind w:left="1134" w:hanging="425"/>
        <w:rPr>
          <w:rFonts w:cstheme="minorHAnsi"/>
          <w:sz w:val="20"/>
          <w:szCs w:val="20"/>
        </w:rPr>
      </w:pPr>
      <w:r w:rsidRPr="00160081">
        <w:rPr>
          <w:rFonts w:cstheme="minorHAnsi"/>
          <w:sz w:val="20"/>
          <w:szCs w:val="20"/>
        </w:rPr>
        <w:t xml:space="preserve">roles y responsabilidades funcionales y técnicas; </w:t>
      </w:r>
    </w:p>
    <w:p w14:paraId="5D35B4A4" w14:textId="77777777" w:rsidR="00160081" w:rsidRPr="00160081" w:rsidRDefault="00160081" w:rsidP="00160081">
      <w:pPr>
        <w:pStyle w:val="Prrafodelista"/>
        <w:numPr>
          <w:ilvl w:val="3"/>
          <w:numId w:val="78"/>
        </w:numPr>
        <w:spacing w:after="0" w:line="240" w:lineRule="auto"/>
        <w:ind w:left="1134" w:hanging="425"/>
        <w:rPr>
          <w:rFonts w:cstheme="minorHAnsi"/>
          <w:sz w:val="20"/>
          <w:szCs w:val="20"/>
        </w:rPr>
      </w:pPr>
      <w:r w:rsidRPr="00160081">
        <w:rPr>
          <w:rFonts w:cstheme="minorHAnsi"/>
          <w:sz w:val="20"/>
          <w:szCs w:val="20"/>
        </w:rPr>
        <w:t xml:space="preserve">actividades de gobernanza, gestión de requerimientos, ciclo de vida de procesos, control de versiones y gestión de cambios; y </w:t>
      </w:r>
    </w:p>
    <w:p w14:paraId="705FD815" w14:textId="77777777" w:rsidR="00160081" w:rsidRPr="00160081" w:rsidRDefault="00160081" w:rsidP="00160081">
      <w:pPr>
        <w:pStyle w:val="Prrafodelista"/>
        <w:numPr>
          <w:ilvl w:val="3"/>
          <w:numId w:val="78"/>
        </w:numPr>
        <w:spacing w:after="0" w:line="240" w:lineRule="auto"/>
        <w:ind w:left="1134" w:hanging="425"/>
        <w:rPr>
          <w:rFonts w:cstheme="minorHAnsi"/>
          <w:sz w:val="20"/>
          <w:szCs w:val="20"/>
        </w:rPr>
      </w:pPr>
      <w:r w:rsidRPr="00160081">
        <w:rPr>
          <w:rFonts w:cstheme="minorHAnsi"/>
          <w:sz w:val="20"/>
          <w:szCs w:val="20"/>
        </w:rPr>
        <w:t>artefactos documentales obligatorios (manuales operativos, procedimientos, matrices RACI y lineamientos de gestión del cambio).</w:t>
      </w:r>
    </w:p>
    <w:p w14:paraId="27F19C09" w14:textId="77777777" w:rsidR="00160081" w:rsidRPr="00160081" w:rsidRDefault="00160081" w:rsidP="00160081">
      <w:pPr>
        <w:rPr>
          <w:rFonts w:cstheme="minorHAnsi"/>
          <w:sz w:val="20"/>
          <w:szCs w:val="20"/>
        </w:rPr>
      </w:pPr>
    </w:p>
    <w:p w14:paraId="2863AC9C"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08" w:name="_Toc217326229"/>
      <w:r w:rsidRPr="00160081">
        <w:rPr>
          <w:rFonts w:asciiTheme="minorHAnsi" w:eastAsia="Times New Roman" w:hAnsiTheme="minorHAnsi" w:cstheme="minorHAnsi"/>
          <w:b/>
          <w:bCs/>
          <w:color w:val="000000" w:themeColor="text1"/>
          <w:sz w:val="20"/>
          <w:szCs w:val="20"/>
        </w:rPr>
        <w:t>9.3 Transferencia de conocimiento</w:t>
      </w:r>
      <w:bookmarkEnd w:id="108"/>
      <w:r w:rsidRPr="00160081">
        <w:rPr>
          <w:rFonts w:asciiTheme="minorHAnsi" w:eastAsia="Times New Roman" w:hAnsiTheme="minorHAnsi" w:cstheme="minorHAnsi"/>
          <w:b/>
          <w:bCs/>
          <w:color w:val="000000" w:themeColor="text1"/>
          <w:sz w:val="20"/>
          <w:szCs w:val="20"/>
        </w:rPr>
        <w:t>s especializados</w:t>
      </w:r>
    </w:p>
    <w:p w14:paraId="12E19DF0" w14:textId="77777777" w:rsidR="00160081" w:rsidRPr="00160081" w:rsidRDefault="00160081" w:rsidP="00160081">
      <w:pPr>
        <w:jc w:val="both"/>
        <w:outlineLvl w:val="2"/>
        <w:rPr>
          <w:rFonts w:cstheme="minorHAnsi"/>
          <w:sz w:val="20"/>
          <w:szCs w:val="20"/>
        </w:rPr>
      </w:pPr>
    </w:p>
    <w:p w14:paraId="7474BBAD" w14:textId="77777777" w:rsidR="00160081" w:rsidRPr="00160081" w:rsidRDefault="00160081" w:rsidP="00160081">
      <w:pPr>
        <w:jc w:val="both"/>
        <w:rPr>
          <w:rFonts w:cstheme="minorHAnsi"/>
          <w:kern w:val="36"/>
          <w:sz w:val="20"/>
          <w:szCs w:val="20"/>
        </w:rPr>
      </w:pPr>
      <w:r w:rsidRPr="00160081">
        <w:rPr>
          <w:rFonts w:cstheme="minorHAnsi"/>
          <w:kern w:val="36"/>
          <w:sz w:val="20"/>
          <w:szCs w:val="20"/>
        </w:rPr>
        <w:t>El contratista de la suite tecnológica integral deberá ejecutar un plan estructurado, progresivo y verificable de transferencia de conocimiento, cuyo objetivo será dotar al SRI de las capacidades técnicas y funcionales necesarias para operar, administrar, mantener, evolucionar y gobernar la suite de manera autónoma, reduciendo la dependencia de soporte externo y asegurando la sostenibilidad institucional de la solución.</w:t>
      </w:r>
    </w:p>
    <w:p w14:paraId="635E61B9" w14:textId="77777777" w:rsidR="00160081" w:rsidRPr="00160081" w:rsidRDefault="00160081" w:rsidP="00160081">
      <w:pPr>
        <w:jc w:val="both"/>
        <w:rPr>
          <w:rFonts w:cstheme="minorHAnsi"/>
          <w:kern w:val="36"/>
          <w:sz w:val="20"/>
          <w:szCs w:val="20"/>
        </w:rPr>
      </w:pPr>
      <w:r w:rsidRPr="00160081">
        <w:rPr>
          <w:rFonts w:cstheme="minorHAnsi"/>
          <w:kern w:val="36"/>
          <w:sz w:val="20"/>
          <w:szCs w:val="20"/>
        </w:rPr>
        <w:t>La transferencia de conocimiento deberá desarrollarse de manera planificada, con trazabilidad y en estrecha coordinación con el cronograma de implementación de la suite, ejecutándose en paralelo a las actividades de configuración, pruebas, puesta en marcha y aseguramiento de calidad.</w:t>
      </w:r>
    </w:p>
    <w:p w14:paraId="15A4D0DD" w14:textId="77777777" w:rsidR="00160081" w:rsidRDefault="00160081" w:rsidP="00160081">
      <w:pPr>
        <w:jc w:val="both"/>
        <w:rPr>
          <w:rFonts w:cstheme="minorHAnsi"/>
          <w:kern w:val="36"/>
          <w:sz w:val="20"/>
          <w:szCs w:val="20"/>
        </w:rPr>
      </w:pPr>
      <w:r w:rsidRPr="00160081">
        <w:rPr>
          <w:rFonts w:cstheme="minorHAnsi"/>
          <w:kern w:val="36"/>
          <w:sz w:val="20"/>
          <w:szCs w:val="20"/>
        </w:rPr>
        <w:t>Para garantizar que las competencias funcionales y técnicas del servicio contratado lo obtenga el personal del SRI se consideran los siguientes criterios, los cuáles serán de cumplimiento obligatorio por parte del contratista y validados por la entidad contratante</w:t>
      </w:r>
      <w:r w:rsidRPr="00160081" w:rsidDel="00193075">
        <w:rPr>
          <w:rFonts w:cstheme="minorHAnsi"/>
          <w:kern w:val="36"/>
          <w:sz w:val="20"/>
          <w:szCs w:val="20"/>
        </w:rPr>
        <w:t>:</w:t>
      </w:r>
    </w:p>
    <w:p w14:paraId="1EDF6CD7" w14:textId="77777777" w:rsidR="00616507" w:rsidRPr="00160081" w:rsidRDefault="00616507" w:rsidP="00160081">
      <w:pPr>
        <w:jc w:val="both"/>
        <w:rPr>
          <w:rFonts w:cstheme="minorHAnsi"/>
          <w:kern w:val="36"/>
          <w:sz w:val="20"/>
          <w:szCs w:val="20"/>
        </w:rPr>
      </w:pPr>
    </w:p>
    <w:tbl>
      <w:tblPr>
        <w:tblW w:w="9276" w:type="dxa"/>
        <w:tblInd w:w="75" w:type="dxa"/>
        <w:tblCellMar>
          <w:left w:w="70" w:type="dxa"/>
          <w:right w:w="70" w:type="dxa"/>
        </w:tblCellMar>
        <w:tblLook w:val="04A0" w:firstRow="1" w:lastRow="0" w:firstColumn="1" w:lastColumn="0" w:noHBand="0" w:noVBand="1"/>
      </w:tblPr>
      <w:tblGrid>
        <w:gridCol w:w="803"/>
        <w:gridCol w:w="1808"/>
        <w:gridCol w:w="6665"/>
      </w:tblGrid>
      <w:tr w:rsidR="00160081" w:rsidRPr="00160081" w14:paraId="5DC98C5D" w14:textId="77777777" w:rsidTr="00616507">
        <w:trPr>
          <w:trHeight w:val="288"/>
          <w:tblHeader/>
        </w:trPr>
        <w:tc>
          <w:tcPr>
            <w:tcW w:w="80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D1DBBF" w14:textId="77777777" w:rsidR="00160081" w:rsidRPr="00160081" w:rsidRDefault="00160081" w:rsidP="00616507">
            <w:pPr>
              <w:spacing w:line="276" w:lineRule="auto"/>
              <w:jc w:val="center"/>
              <w:rPr>
                <w:rFonts w:cstheme="minorHAnsi"/>
                <w:b/>
                <w:bCs/>
                <w:color w:val="000000"/>
                <w:sz w:val="20"/>
                <w:szCs w:val="20"/>
                <w:lang w:eastAsia="es-EC"/>
              </w:rPr>
            </w:pPr>
            <w:r w:rsidRPr="00160081">
              <w:rPr>
                <w:rFonts w:cstheme="minorHAnsi"/>
                <w:b/>
                <w:bCs/>
                <w:color w:val="000000"/>
                <w:sz w:val="20"/>
                <w:szCs w:val="20"/>
                <w:lang w:eastAsia="es-EC"/>
              </w:rPr>
              <w:t>Código</w:t>
            </w:r>
          </w:p>
        </w:tc>
        <w:tc>
          <w:tcPr>
            <w:tcW w:w="18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1E7EA1B" w14:textId="77777777" w:rsidR="00160081" w:rsidRPr="00160081" w:rsidRDefault="00160081" w:rsidP="00616507">
            <w:pPr>
              <w:spacing w:line="276" w:lineRule="auto"/>
              <w:jc w:val="center"/>
              <w:rPr>
                <w:rFonts w:cstheme="minorHAnsi"/>
                <w:b/>
                <w:bCs/>
                <w:color w:val="000000"/>
                <w:sz w:val="20"/>
                <w:szCs w:val="20"/>
                <w:lang w:eastAsia="es-EC"/>
              </w:rPr>
            </w:pPr>
            <w:r w:rsidRPr="00160081">
              <w:rPr>
                <w:rFonts w:cstheme="minorHAnsi"/>
                <w:b/>
                <w:bCs/>
                <w:color w:val="000000"/>
                <w:sz w:val="20"/>
                <w:szCs w:val="20"/>
                <w:lang w:eastAsia="es-EC"/>
              </w:rPr>
              <w:t>Concepto</w:t>
            </w:r>
          </w:p>
        </w:tc>
        <w:tc>
          <w:tcPr>
            <w:tcW w:w="6665" w:type="dxa"/>
            <w:tcBorders>
              <w:top w:val="single" w:sz="4" w:space="0" w:color="auto"/>
              <w:left w:val="nil"/>
              <w:bottom w:val="single" w:sz="4" w:space="0" w:color="auto"/>
              <w:right w:val="single" w:sz="4" w:space="0" w:color="auto"/>
            </w:tcBorders>
            <w:shd w:val="clear" w:color="auto" w:fill="FFFFFF" w:themeFill="background1"/>
            <w:vAlign w:val="center"/>
            <w:hideMark/>
          </w:tcPr>
          <w:p w14:paraId="590CDEBB" w14:textId="77777777" w:rsidR="00160081" w:rsidRPr="00160081" w:rsidRDefault="00160081" w:rsidP="00616507">
            <w:pPr>
              <w:spacing w:line="276" w:lineRule="auto"/>
              <w:jc w:val="center"/>
              <w:rPr>
                <w:rFonts w:cstheme="minorHAnsi"/>
                <w:b/>
                <w:bCs/>
                <w:color w:val="000000"/>
                <w:sz w:val="20"/>
                <w:szCs w:val="20"/>
                <w:lang w:eastAsia="es-EC"/>
              </w:rPr>
            </w:pPr>
            <w:r w:rsidRPr="00160081">
              <w:rPr>
                <w:rFonts w:cstheme="minorHAnsi"/>
                <w:b/>
                <w:bCs/>
                <w:color w:val="000000"/>
                <w:sz w:val="20"/>
                <w:szCs w:val="20"/>
                <w:lang w:eastAsia="es-EC"/>
              </w:rPr>
              <w:t>Características</w:t>
            </w:r>
          </w:p>
        </w:tc>
      </w:tr>
      <w:tr w:rsidR="00160081" w:rsidRPr="00160081" w14:paraId="39B737D2" w14:textId="77777777" w:rsidTr="00616507">
        <w:trPr>
          <w:trHeight w:val="58"/>
        </w:trPr>
        <w:tc>
          <w:tcPr>
            <w:tcW w:w="803" w:type="dxa"/>
            <w:tcBorders>
              <w:top w:val="nil"/>
              <w:left w:val="single" w:sz="4" w:space="0" w:color="auto"/>
              <w:bottom w:val="single" w:sz="4" w:space="0" w:color="auto"/>
              <w:right w:val="single" w:sz="4" w:space="0" w:color="auto"/>
            </w:tcBorders>
            <w:vAlign w:val="center"/>
          </w:tcPr>
          <w:p w14:paraId="181AC339"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TC-01</w:t>
            </w:r>
          </w:p>
        </w:tc>
        <w:tc>
          <w:tcPr>
            <w:tcW w:w="1808" w:type="dxa"/>
            <w:tcBorders>
              <w:top w:val="nil"/>
              <w:left w:val="single" w:sz="4" w:space="0" w:color="auto"/>
              <w:bottom w:val="single" w:sz="4" w:space="0" w:color="auto"/>
              <w:right w:val="single" w:sz="4" w:space="0" w:color="auto"/>
            </w:tcBorders>
            <w:vAlign w:val="center"/>
            <w:hideMark/>
          </w:tcPr>
          <w:p w14:paraId="55C029B6"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Formación</w:t>
            </w:r>
          </w:p>
        </w:tc>
        <w:tc>
          <w:tcPr>
            <w:tcW w:w="6665" w:type="dxa"/>
            <w:tcBorders>
              <w:top w:val="nil"/>
              <w:left w:val="nil"/>
              <w:bottom w:val="single" w:sz="4" w:space="0" w:color="auto"/>
              <w:right w:val="single" w:sz="4" w:space="0" w:color="auto"/>
            </w:tcBorders>
            <w:vAlign w:val="center"/>
            <w:hideMark/>
          </w:tcPr>
          <w:p w14:paraId="480D1A50"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El contratista de la solución tecnológica deberá contar con un programa de formación para usuarios, que cuente con documentación y medios de consulta para traspaso de conocimientos avalado con la metodología técnica del fabricante.</w:t>
            </w:r>
          </w:p>
        </w:tc>
      </w:tr>
      <w:tr w:rsidR="00160081" w:rsidRPr="00160081" w14:paraId="4E6BF428" w14:textId="77777777" w:rsidTr="00616507">
        <w:trPr>
          <w:trHeight w:val="58"/>
        </w:trPr>
        <w:tc>
          <w:tcPr>
            <w:tcW w:w="803" w:type="dxa"/>
            <w:tcBorders>
              <w:top w:val="nil"/>
              <w:left w:val="single" w:sz="4" w:space="0" w:color="auto"/>
              <w:bottom w:val="single" w:sz="4" w:space="0" w:color="auto"/>
              <w:right w:val="single" w:sz="4" w:space="0" w:color="auto"/>
            </w:tcBorders>
            <w:vAlign w:val="center"/>
          </w:tcPr>
          <w:p w14:paraId="44E53513"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TC-02</w:t>
            </w:r>
          </w:p>
        </w:tc>
        <w:tc>
          <w:tcPr>
            <w:tcW w:w="1808" w:type="dxa"/>
            <w:tcBorders>
              <w:top w:val="nil"/>
              <w:left w:val="single" w:sz="4" w:space="0" w:color="auto"/>
              <w:bottom w:val="single" w:sz="4" w:space="0" w:color="auto"/>
              <w:right w:val="single" w:sz="4" w:space="0" w:color="auto"/>
            </w:tcBorders>
            <w:vAlign w:val="center"/>
            <w:hideMark/>
          </w:tcPr>
          <w:p w14:paraId="2832062D"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Competencias técnicas y funcionales</w:t>
            </w:r>
          </w:p>
        </w:tc>
        <w:tc>
          <w:tcPr>
            <w:tcW w:w="6665" w:type="dxa"/>
            <w:tcBorders>
              <w:top w:val="nil"/>
              <w:left w:val="nil"/>
              <w:bottom w:val="single" w:sz="4" w:space="0" w:color="auto"/>
              <w:right w:val="single" w:sz="4" w:space="0" w:color="auto"/>
            </w:tcBorders>
            <w:vAlign w:val="center"/>
            <w:hideMark/>
          </w:tcPr>
          <w:p w14:paraId="2223B1E2"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La transferencia de conocimientos debe garantizar que el personal del SRI obtenga las competencias técnicas y funcionales necesarias que le permitan administrar, mantener, personalizar y operar la solución tecnológica implementada posterior a la finalización de la implementación de los casos.</w:t>
            </w:r>
          </w:p>
        </w:tc>
      </w:tr>
      <w:tr w:rsidR="00160081" w:rsidRPr="00160081" w14:paraId="30441AF5" w14:textId="77777777" w:rsidTr="00616507">
        <w:trPr>
          <w:trHeight w:val="4272"/>
        </w:trPr>
        <w:tc>
          <w:tcPr>
            <w:tcW w:w="803" w:type="dxa"/>
            <w:tcBorders>
              <w:top w:val="nil"/>
              <w:left w:val="single" w:sz="4" w:space="0" w:color="auto"/>
              <w:bottom w:val="single" w:sz="4" w:space="0" w:color="auto"/>
              <w:right w:val="single" w:sz="4" w:space="0" w:color="auto"/>
            </w:tcBorders>
            <w:vAlign w:val="center"/>
          </w:tcPr>
          <w:p w14:paraId="1E828032"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TC-03</w:t>
            </w:r>
          </w:p>
        </w:tc>
        <w:tc>
          <w:tcPr>
            <w:tcW w:w="1808" w:type="dxa"/>
            <w:tcBorders>
              <w:top w:val="nil"/>
              <w:left w:val="single" w:sz="4" w:space="0" w:color="auto"/>
              <w:bottom w:val="single" w:sz="4" w:space="0" w:color="auto"/>
              <w:right w:val="single" w:sz="4" w:space="0" w:color="auto"/>
            </w:tcBorders>
            <w:vAlign w:val="center"/>
            <w:hideMark/>
          </w:tcPr>
          <w:p w14:paraId="0F7CB397"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Grupos objetivos</w:t>
            </w:r>
          </w:p>
        </w:tc>
        <w:tc>
          <w:tcPr>
            <w:tcW w:w="6665" w:type="dxa"/>
            <w:tcBorders>
              <w:top w:val="nil"/>
              <w:left w:val="nil"/>
              <w:bottom w:val="single" w:sz="4" w:space="0" w:color="auto"/>
              <w:right w:val="single" w:sz="4" w:space="0" w:color="auto"/>
            </w:tcBorders>
            <w:vAlign w:val="center"/>
            <w:hideMark/>
          </w:tcPr>
          <w:p w14:paraId="3E026EE3"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La transferencia de conocimiento estará dirigida a los siguientes grupos:</w:t>
            </w:r>
          </w:p>
          <w:p w14:paraId="7E64DBCB" w14:textId="77777777" w:rsidR="00160081" w:rsidRPr="00160081" w:rsidRDefault="00160081" w:rsidP="00BD3D91">
            <w:pPr>
              <w:spacing w:line="276" w:lineRule="auto"/>
              <w:jc w:val="both"/>
              <w:rPr>
                <w:rFonts w:cstheme="minorHAnsi"/>
                <w:color w:val="000000"/>
                <w:sz w:val="20"/>
                <w:szCs w:val="20"/>
                <w:lang w:eastAsia="es-EC"/>
              </w:rPr>
            </w:pPr>
          </w:p>
          <w:tbl>
            <w:tblPr>
              <w:tblW w:w="6515" w:type="dxa"/>
              <w:tblCellMar>
                <w:left w:w="70" w:type="dxa"/>
                <w:right w:w="70" w:type="dxa"/>
              </w:tblCellMar>
              <w:tblLook w:val="04A0" w:firstRow="1" w:lastRow="0" w:firstColumn="1" w:lastColumn="0" w:noHBand="0" w:noVBand="1"/>
            </w:tblPr>
            <w:tblGrid>
              <w:gridCol w:w="3210"/>
              <w:gridCol w:w="826"/>
              <w:gridCol w:w="826"/>
              <w:gridCol w:w="826"/>
              <w:gridCol w:w="827"/>
            </w:tblGrid>
            <w:tr w:rsidR="00160081" w:rsidRPr="00160081" w14:paraId="02216538" w14:textId="77777777" w:rsidTr="00BD3D91">
              <w:trPr>
                <w:trHeight w:val="170"/>
              </w:trPr>
              <w:tc>
                <w:tcPr>
                  <w:tcW w:w="3210" w:type="dxa"/>
                  <w:vMerge w:val="restart"/>
                  <w:tcBorders>
                    <w:top w:val="single" w:sz="4" w:space="0" w:color="auto"/>
                    <w:left w:val="single" w:sz="4" w:space="0" w:color="auto"/>
                    <w:right w:val="single" w:sz="4" w:space="0" w:color="auto"/>
                  </w:tcBorders>
                  <w:noWrap/>
                  <w:vAlign w:val="bottom"/>
                </w:tcPr>
                <w:p w14:paraId="7E50F91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Usuario</w:t>
                  </w:r>
                </w:p>
              </w:tc>
              <w:tc>
                <w:tcPr>
                  <w:tcW w:w="3305" w:type="dxa"/>
                  <w:gridSpan w:val="4"/>
                  <w:tcBorders>
                    <w:top w:val="single" w:sz="4" w:space="0" w:color="auto"/>
                    <w:left w:val="nil"/>
                    <w:bottom w:val="single" w:sz="4" w:space="0" w:color="auto"/>
                    <w:right w:val="single" w:sz="4" w:space="0" w:color="auto"/>
                  </w:tcBorders>
                  <w:noWrap/>
                  <w:vAlign w:val="bottom"/>
                </w:tcPr>
                <w:p w14:paraId="0370315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Herramientas</w:t>
                  </w:r>
                </w:p>
              </w:tc>
            </w:tr>
            <w:tr w:rsidR="00160081" w:rsidRPr="00160081" w14:paraId="02D6768F" w14:textId="77777777" w:rsidTr="00BD3D91">
              <w:trPr>
                <w:trHeight w:val="170"/>
              </w:trPr>
              <w:tc>
                <w:tcPr>
                  <w:tcW w:w="3210" w:type="dxa"/>
                  <w:vMerge/>
                  <w:tcBorders>
                    <w:left w:val="single" w:sz="4" w:space="0" w:color="auto"/>
                    <w:bottom w:val="single" w:sz="4" w:space="0" w:color="auto"/>
                    <w:right w:val="single" w:sz="4" w:space="0" w:color="auto"/>
                  </w:tcBorders>
                  <w:noWrap/>
                  <w:vAlign w:val="bottom"/>
                  <w:hideMark/>
                </w:tcPr>
                <w:p w14:paraId="5634D8EE" w14:textId="77777777" w:rsidR="00160081" w:rsidRPr="00160081" w:rsidRDefault="00160081" w:rsidP="00BD3D91">
                  <w:pPr>
                    <w:rPr>
                      <w:rFonts w:cstheme="minorHAnsi"/>
                      <w:b/>
                      <w:bCs/>
                      <w:color w:val="000000"/>
                      <w:sz w:val="20"/>
                      <w:szCs w:val="20"/>
                    </w:rPr>
                  </w:pPr>
                </w:p>
              </w:tc>
              <w:tc>
                <w:tcPr>
                  <w:tcW w:w="826" w:type="dxa"/>
                  <w:tcBorders>
                    <w:top w:val="single" w:sz="4" w:space="0" w:color="auto"/>
                    <w:left w:val="nil"/>
                    <w:bottom w:val="single" w:sz="4" w:space="0" w:color="auto"/>
                    <w:right w:val="single" w:sz="4" w:space="0" w:color="auto"/>
                  </w:tcBorders>
                  <w:noWrap/>
                  <w:vAlign w:val="bottom"/>
                  <w:hideMark/>
                </w:tcPr>
                <w:p w14:paraId="4472F62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BPMS</w:t>
                  </w:r>
                </w:p>
              </w:tc>
              <w:tc>
                <w:tcPr>
                  <w:tcW w:w="826" w:type="dxa"/>
                  <w:tcBorders>
                    <w:top w:val="single" w:sz="4" w:space="0" w:color="auto"/>
                    <w:left w:val="nil"/>
                    <w:bottom w:val="single" w:sz="4" w:space="0" w:color="auto"/>
                    <w:right w:val="single" w:sz="4" w:space="0" w:color="auto"/>
                  </w:tcBorders>
                  <w:noWrap/>
                  <w:vAlign w:val="bottom"/>
                  <w:hideMark/>
                </w:tcPr>
                <w:p w14:paraId="095A494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BRMS</w:t>
                  </w:r>
                </w:p>
              </w:tc>
              <w:tc>
                <w:tcPr>
                  <w:tcW w:w="826" w:type="dxa"/>
                  <w:tcBorders>
                    <w:top w:val="single" w:sz="4" w:space="0" w:color="auto"/>
                    <w:left w:val="nil"/>
                    <w:bottom w:val="single" w:sz="4" w:space="0" w:color="auto"/>
                    <w:right w:val="single" w:sz="4" w:space="0" w:color="auto"/>
                  </w:tcBorders>
                  <w:noWrap/>
                  <w:vAlign w:val="bottom"/>
                  <w:hideMark/>
                </w:tcPr>
                <w:p w14:paraId="67B90B97"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ECM</w:t>
                  </w:r>
                </w:p>
              </w:tc>
              <w:tc>
                <w:tcPr>
                  <w:tcW w:w="826" w:type="dxa"/>
                  <w:tcBorders>
                    <w:top w:val="single" w:sz="4" w:space="0" w:color="auto"/>
                    <w:left w:val="nil"/>
                    <w:bottom w:val="single" w:sz="4" w:space="0" w:color="auto"/>
                    <w:right w:val="single" w:sz="4" w:space="0" w:color="auto"/>
                  </w:tcBorders>
                  <w:noWrap/>
                  <w:vAlign w:val="bottom"/>
                  <w:hideMark/>
                </w:tcPr>
                <w:p w14:paraId="40FE9CE9"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SGRT</w:t>
                  </w:r>
                </w:p>
              </w:tc>
            </w:tr>
            <w:tr w:rsidR="00160081" w:rsidRPr="00160081" w14:paraId="57F60F51" w14:textId="77777777" w:rsidTr="00BD3D91">
              <w:trPr>
                <w:trHeight w:val="170"/>
              </w:trPr>
              <w:tc>
                <w:tcPr>
                  <w:tcW w:w="3210" w:type="dxa"/>
                  <w:tcBorders>
                    <w:top w:val="nil"/>
                    <w:left w:val="single" w:sz="4" w:space="0" w:color="auto"/>
                    <w:bottom w:val="single" w:sz="4" w:space="0" w:color="auto"/>
                    <w:right w:val="nil"/>
                  </w:tcBorders>
                  <w:noWrap/>
                  <w:vAlign w:val="bottom"/>
                  <w:hideMark/>
                </w:tcPr>
                <w:p w14:paraId="788EEC3D" w14:textId="77777777" w:rsidR="00160081" w:rsidRPr="00160081" w:rsidRDefault="00160081" w:rsidP="00BD3D91">
                  <w:pPr>
                    <w:rPr>
                      <w:rFonts w:cstheme="minorHAnsi"/>
                      <w:color w:val="000000"/>
                      <w:sz w:val="20"/>
                      <w:szCs w:val="20"/>
                    </w:rPr>
                  </w:pPr>
                  <w:bookmarkStart w:id="109" w:name="OLE_LINK24"/>
                  <w:r w:rsidRPr="00160081">
                    <w:rPr>
                      <w:rFonts w:cstheme="minorHAnsi"/>
                      <w:color w:val="000000"/>
                      <w:sz w:val="20"/>
                      <w:szCs w:val="20"/>
                    </w:rPr>
                    <w:t>Administrador de la herramienta</w:t>
                  </w:r>
                </w:p>
              </w:tc>
              <w:tc>
                <w:tcPr>
                  <w:tcW w:w="826" w:type="dxa"/>
                  <w:tcBorders>
                    <w:top w:val="nil"/>
                    <w:left w:val="single" w:sz="4" w:space="0" w:color="auto"/>
                    <w:bottom w:val="single" w:sz="4" w:space="0" w:color="auto"/>
                    <w:right w:val="single" w:sz="4" w:space="0" w:color="auto"/>
                  </w:tcBorders>
                  <w:noWrap/>
                  <w:vAlign w:val="center"/>
                  <w:hideMark/>
                </w:tcPr>
                <w:p w14:paraId="1E09EB6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7D97C58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428184F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7DD7B98B"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789B3C1F" w14:textId="77777777" w:rsidTr="00BD3D91">
              <w:trPr>
                <w:trHeight w:val="170"/>
              </w:trPr>
              <w:tc>
                <w:tcPr>
                  <w:tcW w:w="3210" w:type="dxa"/>
                  <w:tcBorders>
                    <w:top w:val="nil"/>
                    <w:left w:val="single" w:sz="4" w:space="0" w:color="auto"/>
                    <w:bottom w:val="single" w:sz="4" w:space="0" w:color="auto"/>
                    <w:right w:val="nil"/>
                  </w:tcBorders>
                  <w:noWrap/>
                  <w:vAlign w:val="bottom"/>
                  <w:hideMark/>
                </w:tcPr>
                <w:p w14:paraId="15B68027" w14:textId="77777777" w:rsidR="00160081" w:rsidRPr="00160081" w:rsidRDefault="00160081" w:rsidP="00BD3D91">
                  <w:pPr>
                    <w:rPr>
                      <w:rFonts w:cstheme="minorHAnsi"/>
                      <w:color w:val="000000"/>
                      <w:sz w:val="20"/>
                      <w:szCs w:val="20"/>
                    </w:rPr>
                  </w:pPr>
                  <w:r w:rsidRPr="00160081">
                    <w:rPr>
                      <w:rFonts w:cstheme="minorHAnsi"/>
                      <w:color w:val="000000"/>
                      <w:sz w:val="20"/>
                      <w:szCs w:val="20"/>
                    </w:rPr>
                    <w:t>Usuarios funcionales</w:t>
                  </w:r>
                </w:p>
              </w:tc>
              <w:tc>
                <w:tcPr>
                  <w:tcW w:w="826" w:type="dxa"/>
                  <w:tcBorders>
                    <w:top w:val="nil"/>
                    <w:left w:val="single" w:sz="4" w:space="0" w:color="auto"/>
                    <w:bottom w:val="single" w:sz="4" w:space="0" w:color="auto"/>
                    <w:right w:val="single" w:sz="4" w:space="0" w:color="auto"/>
                  </w:tcBorders>
                  <w:noWrap/>
                  <w:vAlign w:val="center"/>
                  <w:hideMark/>
                </w:tcPr>
                <w:p w14:paraId="155F16F6"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7C009715"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3DB0F7E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4923AC71"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tr w:rsidR="00160081" w:rsidRPr="00160081" w14:paraId="5EDB5803" w14:textId="77777777" w:rsidTr="00BD3D91">
              <w:trPr>
                <w:trHeight w:val="170"/>
              </w:trPr>
              <w:tc>
                <w:tcPr>
                  <w:tcW w:w="3210" w:type="dxa"/>
                  <w:tcBorders>
                    <w:top w:val="nil"/>
                    <w:left w:val="single" w:sz="4" w:space="0" w:color="auto"/>
                    <w:bottom w:val="single" w:sz="4" w:space="0" w:color="auto"/>
                    <w:right w:val="nil"/>
                  </w:tcBorders>
                  <w:noWrap/>
                  <w:vAlign w:val="bottom"/>
                  <w:hideMark/>
                </w:tcPr>
                <w:p w14:paraId="765E5FA1" w14:textId="77777777" w:rsidR="00160081" w:rsidRPr="00160081" w:rsidRDefault="00160081" w:rsidP="00BD3D91">
                  <w:pPr>
                    <w:rPr>
                      <w:rFonts w:cstheme="minorHAnsi"/>
                      <w:color w:val="000000"/>
                      <w:sz w:val="20"/>
                      <w:szCs w:val="20"/>
                    </w:rPr>
                  </w:pPr>
                  <w:r w:rsidRPr="00160081">
                    <w:rPr>
                      <w:rFonts w:cstheme="minorHAnsi"/>
                      <w:color w:val="000000"/>
                      <w:sz w:val="20"/>
                      <w:szCs w:val="20"/>
                    </w:rPr>
                    <w:t>Usuarios funcionales avanzados para operación</w:t>
                  </w:r>
                </w:p>
              </w:tc>
              <w:tc>
                <w:tcPr>
                  <w:tcW w:w="826" w:type="dxa"/>
                  <w:tcBorders>
                    <w:top w:val="nil"/>
                    <w:left w:val="single" w:sz="4" w:space="0" w:color="auto"/>
                    <w:bottom w:val="single" w:sz="4" w:space="0" w:color="auto"/>
                    <w:right w:val="single" w:sz="4" w:space="0" w:color="auto"/>
                  </w:tcBorders>
                  <w:noWrap/>
                  <w:vAlign w:val="center"/>
                  <w:hideMark/>
                </w:tcPr>
                <w:p w14:paraId="1D8792C2"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7515EC46" w14:textId="77777777" w:rsidR="00160081" w:rsidRPr="00160081" w:rsidRDefault="00160081" w:rsidP="00BD3D91">
                  <w:pPr>
                    <w:jc w:val="center"/>
                    <w:rPr>
                      <w:rFonts w:cstheme="minorHAnsi"/>
                      <w:color w:val="000000"/>
                      <w:sz w:val="20"/>
                      <w:szCs w:val="20"/>
                    </w:rPr>
                  </w:pPr>
                </w:p>
              </w:tc>
              <w:tc>
                <w:tcPr>
                  <w:tcW w:w="826" w:type="dxa"/>
                  <w:tcBorders>
                    <w:top w:val="nil"/>
                    <w:left w:val="nil"/>
                    <w:bottom w:val="single" w:sz="4" w:space="0" w:color="auto"/>
                    <w:right w:val="single" w:sz="4" w:space="0" w:color="auto"/>
                  </w:tcBorders>
                  <w:noWrap/>
                  <w:vAlign w:val="center"/>
                  <w:hideMark/>
                </w:tcPr>
                <w:p w14:paraId="6516246D"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1D805220" w14:textId="77777777" w:rsidR="00160081" w:rsidRPr="00160081" w:rsidRDefault="00160081" w:rsidP="00BD3D91">
                  <w:pPr>
                    <w:jc w:val="center"/>
                    <w:rPr>
                      <w:rFonts w:cstheme="minorHAnsi"/>
                      <w:color w:val="000000"/>
                      <w:sz w:val="20"/>
                      <w:szCs w:val="20"/>
                    </w:rPr>
                  </w:pPr>
                </w:p>
              </w:tc>
            </w:tr>
            <w:tr w:rsidR="00160081" w:rsidRPr="00160081" w14:paraId="688C1469" w14:textId="77777777" w:rsidTr="00BD3D91">
              <w:trPr>
                <w:trHeight w:val="170"/>
              </w:trPr>
              <w:tc>
                <w:tcPr>
                  <w:tcW w:w="3210" w:type="dxa"/>
                  <w:tcBorders>
                    <w:top w:val="nil"/>
                    <w:left w:val="single" w:sz="4" w:space="0" w:color="auto"/>
                    <w:bottom w:val="single" w:sz="4" w:space="0" w:color="auto"/>
                    <w:right w:val="nil"/>
                  </w:tcBorders>
                  <w:noWrap/>
                  <w:vAlign w:val="bottom"/>
                  <w:hideMark/>
                </w:tcPr>
                <w:p w14:paraId="1FCC4262" w14:textId="77777777" w:rsidR="00160081" w:rsidRPr="00160081" w:rsidRDefault="00160081" w:rsidP="00BD3D91">
                  <w:pPr>
                    <w:rPr>
                      <w:rFonts w:cstheme="minorHAnsi"/>
                      <w:color w:val="000000"/>
                      <w:sz w:val="20"/>
                      <w:szCs w:val="20"/>
                    </w:rPr>
                  </w:pPr>
                  <w:r w:rsidRPr="00160081">
                    <w:rPr>
                      <w:rFonts w:cstheme="minorHAnsi"/>
                      <w:color w:val="000000"/>
                      <w:sz w:val="20"/>
                      <w:szCs w:val="20"/>
                    </w:rPr>
                    <w:t>Diseñador y monitoreo de Procesos</w:t>
                  </w:r>
                </w:p>
              </w:tc>
              <w:tc>
                <w:tcPr>
                  <w:tcW w:w="826" w:type="dxa"/>
                  <w:tcBorders>
                    <w:top w:val="nil"/>
                    <w:left w:val="single" w:sz="4" w:space="0" w:color="auto"/>
                    <w:bottom w:val="single" w:sz="4" w:space="0" w:color="auto"/>
                    <w:right w:val="single" w:sz="4" w:space="0" w:color="auto"/>
                  </w:tcBorders>
                  <w:noWrap/>
                  <w:vAlign w:val="center"/>
                  <w:hideMark/>
                </w:tcPr>
                <w:p w14:paraId="7A1B7487"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0A525176" w14:textId="77777777" w:rsidR="00160081" w:rsidRPr="00160081" w:rsidRDefault="00160081" w:rsidP="00BD3D91">
                  <w:pPr>
                    <w:jc w:val="center"/>
                    <w:rPr>
                      <w:rFonts w:cstheme="minorHAnsi"/>
                      <w:color w:val="000000"/>
                      <w:sz w:val="20"/>
                      <w:szCs w:val="20"/>
                    </w:rPr>
                  </w:pPr>
                </w:p>
              </w:tc>
              <w:tc>
                <w:tcPr>
                  <w:tcW w:w="826" w:type="dxa"/>
                  <w:tcBorders>
                    <w:top w:val="nil"/>
                    <w:left w:val="nil"/>
                    <w:bottom w:val="single" w:sz="4" w:space="0" w:color="auto"/>
                    <w:right w:val="single" w:sz="4" w:space="0" w:color="auto"/>
                  </w:tcBorders>
                  <w:noWrap/>
                  <w:vAlign w:val="center"/>
                  <w:hideMark/>
                </w:tcPr>
                <w:p w14:paraId="130BDD6F" w14:textId="77777777" w:rsidR="00160081" w:rsidRPr="00160081" w:rsidRDefault="00160081" w:rsidP="00BD3D91">
                  <w:pPr>
                    <w:jc w:val="center"/>
                    <w:rPr>
                      <w:rFonts w:cstheme="minorHAnsi"/>
                      <w:color w:val="000000"/>
                      <w:sz w:val="20"/>
                      <w:szCs w:val="20"/>
                    </w:rPr>
                  </w:pPr>
                </w:p>
              </w:tc>
              <w:tc>
                <w:tcPr>
                  <w:tcW w:w="826" w:type="dxa"/>
                  <w:tcBorders>
                    <w:top w:val="nil"/>
                    <w:left w:val="nil"/>
                    <w:bottom w:val="single" w:sz="4" w:space="0" w:color="auto"/>
                    <w:right w:val="single" w:sz="4" w:space="0" w:color="auto"/>
                  </w:tcBorders>
                  <w:noWrap/>
                  <w:vAlign w:val="center"/>
                  <w:hideMark/>
                </w:tcPr>
                <w:p w14:paraId="493A9C54" w14:textId="77777777" w:rsidR="00160081" w:rsidRPr="00160081" w:rsidRDefault="00160081" w:rsidP="00BD3D91">
                  <w:pPr>
                    <w:jc w:val="center"/>
                    <w:rPr>
                      <w:rFonts w:cstheme="minorHAnsi"/>
                      <w:color w:val="000000"/>
                      <w:sz w:val="20"/>
                      <w:szCs w:val="20"/>
                    </w:rPr>
                  </w:pPr>
                </w:p>
              </w:tc>
            </w:tr>
            <w:tr w:rsidR="00160081" w:rsidRPr="00160081" w14:paraId="013B2CC4" w14:textId="77777777" w:rsidTr="00BD3D91">
              <w:trPr>
                <w:trHeight w:val="170"/>
              </w:trPr>
              <w:tc>
                <w:tcPr>
                  <w:tcW w:w="3210" w:type="dxa"/>
                  <w:tcBorders>
                    <w:top w:val="nil"/>
                    <w:left w:val="single" w:sz="4" w:space="0" w:color="auto"/>
                    <w:bottom w:val="single" w:sz="4" w:space="0" w:color="auto"/>
                    <w:right w:val="nil"/>
                  </w:tcBorders>
                  <w:noWrap/>
                  <w:vAlign w:val="bottom"/>
                  <w:hideMark/>
                </w:tcPr>
                <w:p w14:paraId="60F7EE7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Perfil técnico (Desarrollo, Arquitectos, QA, Operaciones, Seguridad Informática, Soporte y Monitoreo)</w:t>
                  </w:r>
                </w:p>
              </w:tc>
              <w:tc>
                <w:tcPr>
                  <w:tcW w:w="826" w:type="dxa"/>
                  <w:tcBorders>
                    <w:top w:val="nil"/>
                    <w:left w:val="single" w:sz="4" w:space="0" w:color="auto"/>
                    <w:bottom w:val="single" w:sz="4" w:space="0" w:color="auto"/>
                    <w:right w:val="single" w:sz="4" w:space="0" w:color="auto"/>
                  </w:tcBorders>
                  <w:noWrap/>
                  <w:vAlign w:val="center"/>
                  <w:hideMark/>
                </w:tcPr>
                <w:p w14:paraId="228326E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1C78ABE3"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5C66E4E0"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c>
                <w:tcPr>
                  <w:tcW w:w="826" w:type="dxa"/>
                  <w:tcBorders>
                    <w:top w:val="nil"/>
                    <w:left w:val="nil"/>
                    <w:bottom w:val="single" w:sz="4" w:space="0" w:color="auto"/>
                    <w:right w:val="single" w:sz="4" w:space="0" w:color="auto"/>
                  </w:tcBorders>
                  <w:noWrap/>
                  <w:vAlign w:val="center"/>
                  <w:hideMark/>
                </w:tcPr>
                <w:p w14:paraId="7267552A" w14:textId="77777777" w:rsidR="00160081" w:rsidRPr="00160081" w:rsidRDefault="00160081" w:rsidP="00BD3D91">
                  <w:pPr>
                    <w:jc w:val="center"/>
                    <w:rPr>
                      <w:rFonts w:cstheme="minorHAnsi"/>
                      <w:color w:val="000000"/>
                      <w:sz w:val="20"/>
                      <w:szCs w:val="20"/>
                    </w:rPr>
                  </w:pPr>
                  <w:r w:rsidRPr="00160081">
                    <w:rPr>
                      <w:rFonts w:cstheme="minorHAnsi"/>
                      <w:color w:val="000000"/>
                      <w:sz w:val="20"/>
                      <w:szCs w:val="20"/>
                    </w:rPr>
                    <w:t>X</w:t>
                  </w:r>
                </w:p>
              </w:tc>
            </w:tr>
            <w:bookmarkEnd w:id="109"/>
          </w:tbl>
          <w:p w14:paraId="5630FC18" w14:textId="77777777" w:rsidR="00160081" w:rsidRPr="00160081" w:rsidRDefault="00160081" w:rsidP="00BD3D91">
            <w:pPr>
              <w:spacing w:line="276" w:lineRule="auto"/>
              <w:ind w:left="338"/>
              <w:jc w:val="both"/>
              <w:rPr>
                <w:rFonts w:cstheme="minorHAnsi"/>
                <w:color w:val="000000"/>
                <w:sz w:val="20"/>
                <w:szCs w:val="20"/>
                <w:lang w:eastAsia="es-EC"/>
              </w:rPr>
            </w:pPr>
          </w:p>
        </w:tc>
      </w:tr>
      <w:tr w:rsidR="00160081" w:rsidRPr="00160081" w14:paraId="292E09B3" w14:textId="77777777" w:rsidTr="00616507">
        <w:trPr>
          <w:trHeight w:val="123"/>
        </w:trPr>
        <w:tc>
          <w:tcPr>
            <w:tcW w:w="803" w:type="dxa"/>
            <w:tcBorders>
              <w:top w:val="nil"/>
              <w:left w:val="single" w:sz="4" w:space="0" w:color="auto"/>
              <w:bottom w:val="single" w:sz="4" w:space="0" w:color="auto"/>
              <w:right w:val="single" w:sz="4" w:space="0" w:color="auto"/>
            </w:tcBorders>
            <w:vAlign w:val="center"/>
          </w:tcPr>
          <w:p w14:paraId="3FCB0012"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TC-04</w:t>
            </w:r>
          </w:p>
        </w:tc>
        <w:tc>
          <w:tcPr>
            <w:tcW w:w="1808" w:type="dxa"/>
            <w:tcBorders>
              <w:top w:val="nil"/>
              <w:left w:val="single" w:sz="4" w:space="0" w:color="auto"/>
              <w:bottom w:val="single" w:sz="4" w:space="0" w:color="auto"/>
              <w:right w:val="single" w:sz="4" w:space="0" w:color="auto"/>
            </w:tcBorders>
            <w:vAlign w:val="center"/>
            <w:hideMark/>
          </w:tcPr>
          <w:p w14:paraId="69CE8EEC"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Plan de transferencia de conocimientos especializados</w:t>
            </w:r>
          </w:p>
        </w:tc>
        <w:tc>
          <w:tcPr>
            <w:tcW w:w="6665" w:type="dxa"/>
            <w:tcBorders>
              <w:top w:val="nil"/>
              <w:left w:val="nil"/>
              <w:bottom w:val="single" w:sz="4" w:space="0" w:color="auto"/>
              <w:right w:val="single" w:sz="4" w:space="0" w:color="auto"/>
            </w:tcBorders>
            <w:vAlign w:val="center"/>
            <w:hideMark/>
          </w:tcPr>
          <w:p w14:paraId="344DF284"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El</w:t>
            </w:r>
            <w:r w:rsidRPr="00160081" w:rsidDel="008B683E">
              <w:rPr>
                <w:rFonts w:cstheme="minorHAnsi"/>
                <w:color w:val="000000"/>
                <w:sz w:val="20"/>
                <w:szCs w:val="20"/>
                <w:lang w:eastAsia="es-EC"/>
              </w:rPr>
              <w:t xml:space="preserve"> </w:t>
            </w:r>
            <w:r w:rsidRPr="00160081">
              <w:rPr>
                <w:rFonts w:cstheme="minorHAnsi"/>
                <w:color w:val="000000"/>
                <w:sz w:val="20"/>
                <w:szCs w:val="20"/>
                <w:lang w:eastAsia="es-EC"/>
              </w:rPr>
              <w:t xml:space="preserve">contratista deberá elaborar el Plan de Transferencia de Conocimientos Especializados y presentar a la entidad contratante para su aprobación, previo al inicio de la implementación.  En este plan al menos se detallará: </w:t>
            </w:r>
          </w:p>
          <w:p w14:paraId="2D5D7251" w14:textId="77777777" w:rsidR="00160081" w:rsidRPr="00160081" w:rsidRDefault="00160081" w:rsidP="00160081">
            <w:pPr>
              <w:numPr>
                <w:ilvl w:val="0"/>
                <w:numId w:val="59"/>
              </w:numPr>
              <w:spacing w:after="0" w:line="276" w:lineRule="auto"/>
              <w:ind w:left="338" w:hanging="204"/>
              <w:jc w:val="both"/>
              <w:rPr>
                <w:rFonts w:cstheme="minorHAnsi"/>
                <w:color w:val="000000"/>
                <w:sz w:val="20"/>
                <w:szCs w:val="20"/>
                <w:lang w:eastAsia="es-EC"/>
              </w:rPr>
            </w:pPr>
            <w:r w:rsidRPr="00160081">
              <w:rPr>
                <w:rFonts w:cstheme="minorHAnsi"/>
                <w:color w:val="000000"/>
                <w:sz w:val="20"/>
                <w:szCs w:val="20"/>
                <w:lang w:eastAsia="es-EC"/>
              </w:rPr>
              <w:t xml:space="preserve">Fecha de ejecución de cada uno de los eventos de transferencia de conocimiento a ejecutarse. </w:t>
            </w:r>
          </w:p>
          <w:p w14:paraId="74F76863" w14:textId="77777777" w:rsidR="00160081" w:rsidRPr="00160081" w:rsidRDefault="00160081" w:rsidP="00160081">
            <w:pPr>
              <w:numPr>
                <w:ilvl w:val="0"/>
                <w:numId w:val="59"/>
              </w:numPr>
              <w:spacing w:after="0" w:line="276" w:lineRule="auto"/>
              <w:ind w:left="338" w:hanging="204"/>
              <w:jc w:val="both"/>
              <w:rPr>
                <w:rFonts w:cstheme="minorHAnsi"/>
                <w:color w:val="000000"/>
                <w:sz w:val="20"/>
                <w:szCs w:val="20"/>
                <w:lang w:eastAsia="es-EC"/>
              </w:rPr>
            </w:pPr>
            <w:r w:rsidRPr="00160081">
              <w:rPr>
                <w:rFonts w:cstheme="minorHAnsi"/>
                <w:color w:val="000000"/>
                <w:sz w:val="20"/>
                <w:szCs w:val="20"/>
                <w:lang w:eastAsia="es-EC"/>
              </w:rPr>
              <w:t>Número de participantes, instructor propuesto, horario de ejecución, temario propuesto, grupo objetivo, número de horas, lugar de capacitación en caso de ser presencial</w:t>
            </w:r>
            <w:r w:rsidRPr="00160081" w:rsidDel="008B683E">
              <w:rPr>
                <w:rFonts w:cstheme="minorHAnsi"/>
                <w:color w:val="000000"/>
                <w:sz w:val="20"/>
                <w:szCs w:val="20"/>
                <w:lang w:eastAsia="es-EC"/>
              </w:rPr>
              <w:t>.</w:t>
            </w:r>
          </w:p>
          <w:p w14:paraId="526C8B6F" w14:textId="77777777" w:rsidR="00160081" w:rsidRPr="00160081" w:rsidRDefault="00160081" w:rsidP="00BD3D91">
            <w:pPr>
              <w:spacing w:line="276" w:lineRule="auto"/>
              <w:ind w:left="-22"/>
              <w:jc w:val="both"/>
              <w:rPr>
                <w:rFonts w:cstheme="minorHAnsi"/>
                <w:color w:val="000000"/>
                <w:sz w:val="20"/>
                <w:szCs w:val="20"/>
                <w:lang w:eastAsia="es-EC"/>
              </w:rPr>
            </w:pPr>
            <w:r w:rsidRPr="00160081">
              <w:rPr>
                <w:rFonts w:cstheme="minorHAnsi"/>
                <w:color w:val="000000"/>
                <w:sz w:val="20"/>
                <w:szCs w:val="20"/>
                <w:lang w:eastAsia="es-EC"/>
              </w:rPr>
              <w:t>De así considerarlo, la entidad contratante solicitará las modificaciones que se consideren pertinente, mismas que serán de cumplimiento obligatorio para el contratista.</w:t>
            </w:r>
          </w:p>
        </w:tc>
      </w:tr>
      <w:tr w:rsidR="00160081" w:rsidRPr="00160081" w14:paraId="6180F889" w14:textId="77777777" w:rsidTr="00616507">
        <w:trPr>
          <w:trHeight w:val="58"/>
        </w:trPr>
        <w:tc>
          <w:tcPr>
            <w:tcW w:w="803" w:type="dxa"/>
            <w:tcBorders>
              <w:top w:val="nil"/>
              <w:left w:val="single" w:sz="4" w:space="0" w:color="auto"/>
              <w:bottom w:val="single" w:sz="4" w:space="0" w:color="auto"/>
              <w:right w:val="single" w:sz="4" w:space="0" w:color="auto"/>
            </w:tcBorders>
            <w:vAlign w:val="center"/>
          </w:tcPr>
          <w:p w14:paraId="6636F2D7"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TC-05</w:t>
            </w:r>
          </w:p>
        </w:tc>
        <w:tc>
          <w:tcPr>
            <w:tcW w:w="1808" w:type="dxa"/>
            <w:tcBorders>
              <w:top w:val="nil"/>
              <w:left w:val="single" w:sz="4" w:space="0" w:color="auto"/>
              <w:bottom w:val="single" w:sz="4" w:space="0" w:color="auto"/>
              <w:right w:val="single" w:sz="4" w:space="0" w:color="auto"/>
            </w:tcBorders>
            <w:vAlign w:val="center"/>
            <w:hideMark/>
          </w:tcPr>
          <w:p w14:paraId="650F01A3"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Alcance</w:t>
            </w:r>
          </w:p>
        </w:tc>
        <w:tc>
          <w:tcPr>
            <w:tcW w:w="6665" w:type="dxa"/>
            <w:tcBorders>
              <w:top w:val="nil"/>
              <w:left w:val="nil"/>
              <w:bottom w:val="single" w:sz="4" w:space="0" w:color="auto"/>
              <w:right w:val="single" w:sz="4" w:space="0" w:color="auto"/>
            </w:tcBorders>
            <w:vAlign w:val="center"/>
            <w:hideMark/>
          </w:tcPr>
          <w:p w14:paraId="0BBEBAC3"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La transferencia de conocimientos especializados se llevará a cabo en idioma español o con traducción al español</w:t>
            </w:r>
            <w:bookmarkStart w:id="110" w:name="OLE_LINK44"/>
            <w:r w:rsidRPr="00160081">
              <w:rPr>
                <w:rFonts w:cstheme="minorHAnsi"/>
                <w:color w:val="000000"/>
                <w:sz w:val="20"/>
                <w:szCs w:val="20"/>
                <w:lang w:eastAsia="es-EC"/>
              </w:rPr>
              <w:t>,</w:t>
            </w:r>
            <w:bookmarkEnd w:id="110"/>
            <w:r w:rsidRPr="00160081">
              <w:rPr>
                <w:rFonts w:cstheme="minorHAnsi"/>
                <w:color w:val="000000"/>
                <w:sz w:val="20"/>
                <w:szCs w:val="20"/>
                <w:lang w:eastAsia="es-EC"/>
              </w:rPr>
              <w:t xml:space="preserve"> será técnica y funcional, corresponderá a las herramientas, módulos, integraciones y demás competencias necesarias para la gestión, implementación y operación del servicio. El</w:t>
            </w:r>
            <w:r w:rsidRPr="00160081" w:rsidDel="00BD4CB5">
              <w:rPr>
                <w:rFonts w:cstheme="minorHAnsi"/>
                <w:color w:val="000000"/>
                <w:sz w:val="20"/>
                <w:szCs w:val="20"/>
                <w:lang w:eastAsia="es-EC"/>
              </w:rPr>
              <w:t xml:space="preserve"> </w:t>
            </w:r>
            <w:r w:rsidRPr="00160081">
              <w:rPr>
                <w:rFonts w:cstheme="minorHAnsi"/>
                <w:color w:val="000000"/>
                <w:sz w:val="20"/>
                <w:szCs w:val="20"/>
                <w:lang w:eastAsia="es-EC"/>
              </w:rPr>
              <w:t>contratista deberá incluir en el plan de transferencia al menos las siguientes temáticas especializadas, considerando el siguiente alcance mínimo:</w:t>
            </w:r>
          </w:p>
          <w:p w14:paraId="2F0F7793" w14:textId="77777777" w:rsidR="00160081" w:rsidRPr="00160081" w:rsidRDefault="00160081" w:rsidP="00BD3D91">
            <w:pPr>
              <w:spacing w:line="276" w:lineRule="auto"/>
              <w:jc w:val="both"/>
              <w:rPr>
                <w:rFonts w:cstheme="minorHAnsi"/>
                <w:color w:val="000000"/>
                <w:sz w:val="20"/>
                <w:szCs w:val="20"/>
                <w:lang w:eastAsia="es-EC"/>
              </w:rPr>
            </w:pPr>
          </w:p>
          <w:p w14:paraId="7F6B06BC"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bookmarkStart w:id="111" w:name="OLE_LINK52"/>
            <w:bookmarkStart w:id="112" w:name="OLE_LINK49"/>
            <w:r w:rsidRPr="00160081">
              <w:rPr>
                <w:rFonts w:cstheme="minorHAnsi"/>
                <w:color w:val="000000"/>
                <w:sz w:val="20"/>
                <w:szCs w:val="20"/>
                <w:lang w:eastAsia="es-EC"/>
              </w:rPr>
              <w:t>Introducción a la solución contratada y conceptos básicos</w:t>
            </w:r>
            <w:bookmarkEnd w:id="111"/>
            <w:r w:rsidRPr="00160081">
              <w:rPr>
                <w:rFonts w:cstheme="minorHAnsi"/>
                <w:color w:val="000000"/>
                <w:sz w:val="20"/>
                <w:szCs w:val="20"/>
                <w:lang w:eastAsia="es-EC"/>
              </w:rPr>
              <w:t xml:space="preserve"> que apoyen al uso de la herramienta</w:t>
            </w:r>
          </w:p>
          <w:p w14:paraId="47EE4D50"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Metodología de implementación de casos de uso en BPMS</w:t>
            </w:r>
          </w:p>
          <w:p w14:paraId="1C18C903" w14:textId="77777777" w:rsidR="00160081" w:rsidRPr="00160081" w:rsidRDefault="00160081" w:rsidP="00160081">
            <w:pPr>
              <w:numPr>
                <w:ilvl w:val="0"/>
                <w:numId w:val="82"/>
              </w:numPr>
              <w:spacing w:after="0" w:line="276" w:lineRule="auto"/>
              <w:ind w:left="276" w:hanging="142"/>
              <w:jc w:val="both"/>
              <w:rPr>
                <w:rFonts w:cstheme="minorHAnsi"/>
                <w:sz w:val="20"/>
                <w:szCs w:val="20"/>
                <w:lang w:eastAsia="es-EC"/>
              </w:rPr>
            </w:pPr>
            <w:r w:rsidRPr="00160081">
              <w:rPr>
                <w:rFonts w:cstheme="minorHAnsi"/>
                <w:color w:val="000000"/>
                <w:sz w:val="20"/>
                <w:szCs w:val="20"/>
                <w:lang w:eastAsia="es-EC"/>
              </w:rPr>
              <w:t xml:space="preserve">Gestión por procesos BPMS, modelo de integración y gobernanza, </w:t>
            </w:r>
            <w:r w:rsidRPr="00160081">
              <w:rPr>
                <w:rFonts w:cstheme="minorHAnsi"/>
                <w:sz w:val="20"/>
                <w:szCs w:val="20"/>
                <w:lang w:eastAsia="es-EC"/>
              </w:rPr>
              <w:t>entre otros</w:t>
            </w:r>
          </w:p>
          <w:p w14:paraId="7DE42E7C"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sz w:val="20"/>
                <w:szCs w:val="20"/>
                <w:lang w:eastAsia="es-EC"/>
              </w:rPr>
              <w:t>Arquitectura de la solución, donde se revisen mejores prácticas, c</w:t>
            </w:r>
            <w:r w:rsidRPr="00160081">
              <w:rPr>
                <w:rFonts w:cstheme="minorHAnsi"/>
                <w:color w:val="000000"/>
                <w:sz w:val="20"/>
                <w:szCs w:val="20"/>
                <w:lang w:eastAsia="es-EC"/>
              </w:rPr>
              <w:t>riterios de diseño que le permitan al SRI realizar la revisión de las soluciones propuestas.</w:t>
            </w:r>
          </w:p>
          <w:p w14:paraId="35D8464E"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Navegación e interfaz de usuario por cada componente, servicio y/o módulos a ser implementados.</w:t>
            </w:r>
          </w:p>
          <w:p w14:paraId="450DF088"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Integración con otros sistemas.</w:t>
            </w:r>
          </w:p>
          <w:p w14:paraId="42D17536"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Seguridad y Acceso: Al menos y sin limitarse a configuración de roles y permisos de usuario, control de accesos a funciones específicas.</w:t>
            </w:r>
          </w:p>
          <w:p w14:paraId="788A705B"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Escenarios de uso específicos: Ejemplos prácticos de como la solución puede abordar problemas específicos en la entidad contratante, casos de uso relevantes basados en roles y perfiles asignados.</w:t>
            </w:r>
          </w:p>
          <w:p w14:paraId="720547CB"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Cumplimiento normativo: Prácticas para asegurar el cumplimiento normativo</w:t>
            </w:r>
          </w:p>
          <w:p w14:paraId="4FA036F3"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r w:rsidRPr="00160081">
              <w:rPr>
                <w:rFonts w:cstheme="minorHAnsi"/>
                <w:color w:val="000000"/>
                <w:sz w:val="20"/>
                <w:szCs w:val="20"/>
                <w:lang w:eastAsia="es-EC"/>
              </w:rPr>
              <w:t>Administración de la solución tecnológica contratada (procesos, módulos y casos de uso implementados): Identificación y resolución de problemas comunes, recursos y canales de soporte disponibles, administración de servicios. Proceso de actualización y mejoras de la solución.</w:t>
            </w:r>
          </w:p>
          <w:p w14:paraId="5068DA06" w14:textId="77777777" w:rsidR="00160081" w:rsidRPr="00160081" w:rsidRDefault="00160081" w:rsidP="00160081">
            <w:pPr>
              <w:numPr>
                <w:ilvl w:val="0"/>
                <w:numId w:val="82"/>
              </w:numPr>
              <w:spacing w:after="0" w:line="276" w:lineRule="auto"/>
              <w:ind w:left="276" w:hanging="142"/>
              <w:jc w:val="both"/>
              <w:rPr>
                <w:rFonts w:cstheme="minorHAnsi"/>
                <w:color w:val="000000"/>
                <w:sz w:val="20"/>
                <w:szCs w:val="20"/>
                <w:lang w:eastAsia="es-EC"/>
              </w:rPr>
            </w:pPr>
            <w:bookmarkStart w:id="113" w:name="OLE_LINK31"/>
            <w:bookmarkEnd w:id="112"/>
            <w:r w:rsidRPr="00160081">
              <w:rPr>
                <w:rFonts w:cstheme="minorHAnsi"/>
                <w:color w:val="000000"/>
                <w:sz w:val="20"/>
                <w:szCs w:val="20"/>
                <w:lang w:eastAsia="es-EC"/>
              </w:rPr>
              <w:t>Implementación de la solución tecnológica contratada, procesos, módulos y casos de uso implementados, uso de cada módulo y/o servicio de la solución, Integraciones (procesos y módulos implementados)</w:t>
            </w:r>
            <w:bookmarkEnd w:id="113"/>
          </w:p>
        </w:tc>
      </w:tr>
      <w:tr w:rsidR="00160081" w:rsidRPr="00160081" w14:paraId="02B5082D" w14:textId="77777777" w:rsidTr="00616507">
        <w:trPr>
          <w:trHeight w:val="58"/>
        </w:trPr>
        <w:tc>
          <w:tcPr>
            <w:tcW w:w="803" w:type="dxa"/>
            <w:tcBorders>
              <w:top w:val="nil"/>
              <w:left w:val="single" w:sz="4" w:space="0" w:color="auto"/>
              <w:bottom w:val="single" w:sz="4" w:space="0" w:color="auto"/>
              <w:right w:val="single" w:sz="4" w:space="0" w:color="auto"/>
            </w:tcBorders>
            <w:vAlign w:val="center"/>
          </w:tcPr>
          <w:p w14:paraId="2BCB903D"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TC-06</w:t>
            </w:r>
          </w:p>
        </w:tc>
        <w:tc>
          <w:tcPr>
            <w:tcW w:w="1808" w:type="dxa"/>
            <w:tcBorders>
              <w:top w:val="nil"/>
              <w:left w:val="single" w:sz="4" w:space="0" w:color="auto"/>
              <w:bottom w:val="single" w:sz="4" w:space="0" w:color="auto"/>
              <w:right w:val="single" w:sz="4" w:space="0" w:color="auto"/>
            </w:tcBorders>
            <w:vAlign w:val="center"/>
            <w:hideMark/>
          </w:tcPr>
          <w:p w14:paraId="3B69404A"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Modalidad</w:t>
            </w:r>
          </w:p>
        </w:tc>
        <w:tc>
          <w:tcPr>
            <w:tcW w:w="6665" w:type="dxa"/>
            <w:tcBorders>
              <w:top w:val="nil"/>
              <w:left w:val="nil"/>
              <w:bottom w:val="single" w:sz="4" w:space="0" w:color="auto"/>
              <w:right w:val="single" w:sz="4" w:space="0" w:color="auto"/>
            </w:tcBorders>
            <w:vAlign w:val="center"/>
            <w:hideMark/>
          </w:tcPr>
          <w:p w14:paraId="4FD41F56"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La transferencia de conocimientos especializados se realizará en la modalidad virtual y/o presencial con jornadas de hasta 4 horas diarias ininterrumpidas, de lunes a viernes dentro del rango 8:00 am a 17:00 pm, este horario será acordado previamente con la entidad contratante.</w:t>
            </w:r>
          </w:p>
          <w:p w14:paraId="17C318E3"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Los eventos de transferencia de conocimientos especializados deberán permitir la combinación de la teoría dentro de un entorno real, con ejercicios prácticos que refuercen el conocimiento impartido, para lo cual el contratista deberá configurar un entorno de prueba accesible para todos los participantes.</w:t>
            </w:r>
          </w:p>
          <w:p w14:paraId="329E6C7F"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Para los eventos de transferencia de conocimientos especializados que se desarrollen de forma presencial, el contratista será el encargado de coordinar todos los aspectos logísticos para el normal desarrollo de los eventos, sin que esto implique un costo adicional para la entidad contratante.</w:t>
            </w:r>
          </w:p>
        </w:tc>
      </w:tr>
      <w:tr w:rsidR="00160081" w:rsidRPr="00160081" w14:paraId="5C21E596" w14:textId="77777777" w:rsidTr="00616507">
        <w:trPr>
          <w:trHeight w:val="346"/>
        </w:trPr>
        <w:tc>
          <w:tcPr>
            <w:tcW w:w="803" w:type="dxa"/>
            <w:tcBorders>
              <w:top w:val="nil"/>
              <w:left w:val="single" w:sz="4" w:space="0" w:color="auto"/>
              <w:bottom w:val="single" w:sz="4" w:space="0" w:color="auto"/>
              <w:right w:val="single" w:sz="4" w:space="0" w:color="auto"/>
            </w:tcBorders>
            <w:vAlign w:val="center"/>
          </w:tcPr>
          <w:p w14:paraId="7607571F"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TC-07</w:t>
            </w:r>
          </w:p>
        </w:tc>
        <w:tc>
          <w:tcPr>
            <w:tcW w:w="1808" w:type="dxa"/>
            <w:tcBorders>
              <w:top w:val="nil"/>
              <w:left w:val="single" w:sz="4" w:space="0" w:color="auto"/>
              <w:bottom w:val="single" w:sz="4" w:space="0" w:color="auto"/>
              <w:right w:val="single" w:sz="4" w:space="0" w:color="auto"/>
            </w:tcBorders>
            <w:vAlign w:val="center"/>
            <w:hideMark/>
          </w:tcPr>
          <w:p w14:paraId="12A649FC"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Materiales y medios necesarios</w:t>
            </w:r>
          </w:p>
        </w:tc>
        <w:tc>
          <w:tcPr>
            <w:tcW w:w="6665" w:type="dxa"/>
            <w:tcBorders>
              <w:top w:val="nil"/>
              <w:left w:val="nil"/>
              <w:bottom w:val="single" w:sz="4" w:space="0" w:color="auto"/>
              <w:right w:val="single" w:sz="4" w:space="0" w:color="auto"/>
            </w:tcBorders>
            <w:vAlign w:val="center"/>
            <w:hideMark/>
          </w:tcPr>
          <w:p w14:paraId="10710D8F"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El</w:t>
            </w:r>
            <w:r w:rsidRPr="00160081" w:rsidDel="00F5340B">
              <w:rPr>
                <w:rFonts w:cstheme="minorHAnsi"/>
                <w:color w:val="000000"/>
                <w:sz w:val="20"/>
                <w:szCs w:val="20"/>
                <w:lang w:eastAsia="es-EC"/>
              </w:rPr>
              <w:t xml:space="preserve"> </w:t>
            </w:r>
            <w:r w:rsidRPr="00160081">
              <w:rPr>
                <w:rFonts w:cstheme="minorHAnsi"/>
                <w:color w:val="000000"/>
                <w:sz w:val="20"/>
                <w:szCs w:val="20"/>
                <w:lang w:eastAsia="es-EC"/>
              </w:rPr>
              <w:t>contratista deberá proporcionar los materiales y medios necesarios para la ejecución de cada evento de transferencia de conocimientos especializados; incluye al menos y sin limitarse a: manuales, instructivos, videos, diapositivas, ambientes de demostración y entrenamiento de la solución</w:t>
            </w:r>
          </w:p>
        </w:tc>
      </w:tr>
      <w:tr w:rsidR="00160081" w:rsidRPr="00160081" w14:paraId="0E96D6BF" w14:textId="77777777" w:rsidTr="00616507">
        <w:trPr>
          <w:trHeight w:val="569"/>
        </w:trPr>
        <w:tc>
          <w:tcPr>
            <w:tcW w:w="803" w:type="dxa"/>
            <w:tcBorders>
              <w:top w:val="nil"/>
              <w:left w:val="single" w:sz="4" w:space="0" w:color="auto"/>
              <w:bottom w:val="single" w:sz="4" w:space="0" w:color="auto"/>
              <w:right w:val="single" w:sz="4" w:space="0" w:color="auto"/>
            </w:tcBorders>
            <w:vAlign w:val="center"/>
          </w:tcPr>
          <w:p w14:paraId="1B71A601"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TC-08</w:t>
            </w:r>
          </w:p>
        </w:tc>
        <w:tc>
          <w:tcPr>
            <w:tcW w:w="1808" w:type="dxa"/>
            <w:tcBorders>
              <w:top w:val="nil"/>
              <w:left w:val="single" w:sz="4" w:space="0" w:color="auto"/>
              <w:bottom w:val="single" w:sz="4" w:space="0" w:color="auto"/>
              <w:right w:val="single" w:sz="4" w:space="0" w:color="auto"/>
            </w:tcBorders>
            <w:vAlign w:val="center"/>
            <w:hideMark/>
          </w:tcPr>
          <w:p w14:paraId="71FA2729"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Requerimientos técnicos para la transferencia de conocimientos especializados</w:t>
            </w:r>
          </w:p>
        </w:tc>
        <w:tc>
          <w:tcPr>
            <w:tcW w:w="6665" w:type="dxa"/>
            <w:tcBorders>
              <w:top w:val="nil"/>
              <w:left w:val="nil"/>
              <w:bottom w:val="single" w:sz="4" w:space="0" w:color="auto"/>
              <w:right w:val="single" w:sz="4" w:space="0" w:color="auto"/>
            </w:tcBorders>
            <w:vAlign w:val="center"/>
            <w:hideMark/>
          </w:tcPr>
          <w:p w14:paraId="24BD55F1"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 xml:space="preserve">En el caso de requerir para la transferencia de conocimientos especializados, la instalación y/o configuración de la solución en los computadores de los participantes; el contratista deberá realizarla con al menos 15 días calendario de anticipación el software y archivos que se requieran instalar.  Así también deberá indicar los requerimientos técnicos al menos y sin limitarse a: software base, acceso a intranet y/o internet, permisos de firewall, permisos de administrador. </w:t>
            </w:r>
          </w:p>
        </w:tc>
      </w:tr>
      <w:tr w:rsidR="00160081" w:rsidRPr="00160081" w14:paraId="4738B238" w14:textId="77777777" w:rsidTr="00616507">
        <w:trPr>
          <w:trHeight w:val="480"/>
        </w:trPr>
        <w:tc>
          <w:tcPr>
            <w:tcW w:w="803" w:type="dxa"/>
            <w:tcBorders>
              <w:top w:val="nil"/>
              <w:left w:val="single" w:sz="4" w:space="0" w:color="auto"/>
              <w:bottom w:val="single" w:sz="4" w:space="0" w:color="auto"/>
              <w:right w:val="single" w:sz="4" w:space="0" w:color="auto"/>
            </w:tcBorders>
            <w:vAlign w:val="center"/>
          </w:tcPr>
          <w:p w14:paraId="4BB908D8"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TC-09</w:t>
            </w:r>
          </w:p>
        </w:tc>
        <w:tc>
          <w:tcPr>
            <w:tcW w:w="1808" w:type="dxa"/>
            <w:tcBorders>
              <w:top w:val="nil"/>
              <w:left w:val="single" w:sz="4" w:space="0" w:color="auto"/>
              <w:bottom w:val="single" w:sz="4" w:space="0" w:color="auto"/>
              <w:right w:val="single" w:sz="4" w:space="0" w:color="auto"/>
            </w:tcBorders>
            <w:vAlign w:val="center"/>
            <w:hideMark/>
          </w:tcPr>
          <w:p w14:paraId="14952DCC"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Evaluación</w:t>
            </w:r>
          </w:p>
        </w:tc>
        <w:tc>
          <w:tcPr>
            <w:tcW w:w="6665" w:type="dxa"/>
            <w:tcBorders>
              <w:top w:val="nil"/>
              <w:left w:val="nil"/>
              <w:bottom w:val="single" w:sz="4" w:space="0" w:color="auto"/>
              <w:right w:val="single" w:sz="4" w:space="0" w:color="auto"/>
            </w:tcBorders>
            <w:vAlign w:val="center"/>
            <w:hideMark/>
          </w:tcPr>
          <w:p w14:paraId="3A0AB118"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El</w:t>
            </w:r>
            <w:r w:rsidRPr="00160081" w:rsidDel="000C7FE3">
              <w:rPr>
                <w:rFonts w:cstheme="minorHAnsi"/>
                <w:color w:val="000000"/>
                <w:sz w:val="20"/>
                <w:szCs w:val="20"/>
                <w:lang w:eastAsia="es-EC"/>
              </w:rPr>
              <w:t xml:space="preserve"> </w:t>
            </w:r>
            <w:r w:rsidRPr="00160081">
              <w:rPr>
                <w:rFonts w:cstheme="minorHAnsi"/>
                <w:color w:val="000000"/>
                <w:sz w:val="20"/>
                <w:szCs w:val="20"/>
                <w:lang w:eastAsia="es-EC"/>
              </w:rPr>
              <w:t xml:space="preserve">contratista deberá garantizar que el proceso de transferencia de conocimiento se haya efectuado satisfactoriamente conforme a lo establecido en el plan de transferencia de conocimientos. </w:t>
            </w:r>
          </w:p>
        </w:tc>
      </w:tr>
      <w:tr w:rsidR="00160081" w:rsidRPr="00160081" w14:paraId="752198E0" w14:textId="77777777" w:rsidTr="00616507">
        <w:trPr>
          <w:trHeight w:val="264"/>
        </w:trPr>
        <w:tc>
          <w:tcPr>
            <w:tcW w:w="803" w:type="dxa"/>
            <w:tcBorders>
              <w:top w:val="nil"/>
              <w:left w:val="single" w:sz="4" w:space="0" w:color="auto"/>
              <w:bottom w:val="single" w:sz="4" w:space="0" w:color="auto"/>
              <w:right w:val="single" w:sz="4" w:space="0" w:color="auto"/>
            </w:tcBorders>
            <w:vAlign w:val="center"/>
          </w:tcPr>
          <w:p w14:paraId="6519F9A4" w14:textId="77777777" w:rsidR="00160081" w:rsidRPr="00160081" w:rsidRDefault="00160081" w:rsidP="00BD3D91">
            <w:pPr>
              <w:spacing w:line="276" w:lineRule="auto"/>
              <w:jc w:val="center"/>
              <w:rPr>
                <w:rFonts w:cstheme="minorHAnsi"/>
                <w:color w:val="000000"/>
                <w:sz w:val="20"/>
                <w:szCs w:val="20"/>
                <w:lang w:eastAsia="es-EC"/>
              </w:rPr>
            </w:pPr>
            <w:r w:rsidRPr="00160081">
              <w:rPr>
                <w:rFonts w:cstheme="minorHAnsi"/>
                <w:color w:val="000000"/>
                <w:sz w:val="20"/>
                <w:szCs w:val="20"/>
                <w:lang w:eastAsia="es-EC"/>
              </w:rPr>
              <w:t>TC-10</w:t>
            </w:r>
          </w:p>
        </w:tc>
        <w:tc>
          <w:tcPr>
            <w:tcW w:w="1808" w:type="dxa"/>
            <w:tcBorders>
              <w:top w:val="nil"/>
              <w:left w:val="single" w:sz="4" w:space="0" w:color="auto"/>
              <w:bottom w:val="single" w:sz="4" w:space="0" w:color="auto"/>
              <w:right w:val="single" w:sz="4" w:space="0" w:color="auto"/>
            </w:tcBorders>
            <w:vAlign w:val="center"/>
            <w:hideMark/>
          </w:tcPr>
          <w:p w14:paraId="308AE69D" w14:textId="77777777" w:rsidR="00160081" w:rsidRPr="00160081" w:rsidRDefault="00160081" w:rsidP="00BD3D91">
            <w:pPr>
              <w:spacing w:line="276" w:lineRule="auto"/>
              <w:rPr>
                <w:rFonts w:cstheme="minorHAnsi"/>
                <w:color w:val="000000"/>
                <w:sz w:val="20"/>
                <w:szCs w:val="20"/>
                <w:lang w:eastAsia="es-EC"/>
              </w:rPr>
            </w:pPr>
            <w:r w:rsidRPr="00160081">
              <w:rPr>
                <w:rFonts w:cstheme="minorHAnsi"/>
                <w:color w:val="000000"/>
                <w:sz w:val="20"/>
                <w:szCs w:val="20"/>
                <w:lang w:eastAsia="es-EC"/>
              </w:rPr>
              <w:t>Entregables de la transferencia de conocimientos especializados</w:t>
            </w:r>
          </w:p>
        </w:tc>
        <w:tc>
          <w:tcPr>
            <w:tcW w:w="6665" w:type="dxa"/>
            <w:tcBorders>
              <w:top w:val="nil"/>
              <w:left w:val="nil"/>
              <w:bottom w:val="single" w:sz="4" w:space="0" w:color="auto"/>
              <w:right w:val="single" w:sz="4" w:space="0" w:color="auto"/>
            </w:tcBorders>
            <w:vAlign w:val="center"/>
            <w:hideMark/>
          </w:tcPr>
          <w:p w14:paraId="5BBDED4D"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El contratista deberá entregar por cada evento de transferencia de conocimientos especializados:</w:t>
            </w:r>
          </w:p>
          <w:p w14:paraId="20457BC4" w14:textId="77777777" w:rsidR="00160081" w:rsidRPr="00160081" w:rsidRDefault="00160081" w:rsidP="00160081">
            <w:pPr>
              <w:pStyle w:val="Prrafodelista"/>
              <w:numPr>
                <w:ilvl w:val="3"/>
                <w:numId w:val="81"/>
              </w:numPr>
              <w:spacing w:after="0" w:line="276" w:lineRule="auto"/>
              <w:ind w:left="417" w:hanging="134"/>
              <w:jc w:val="both"/>
              <w:rPr>
                <w:rFonts w:cstheme="minorHAnsi"/>
                <w:color w:val="000000"/>
                <w:sz w:val="20"/>
                <w:szCs w:val="20"/>
                <w:lang w:eastAsia="es-EC"/>
              </w:rPr>
            </w:pPr>
            <w:r w:rsidRPr="00160081">
              <w:rPr>
                <w:rFonts w:cstheme="minorHAnsi"/>
                <w:color w:val="000000"/>
                <w:sz w:val="20"/>
                <w:szCs w:val="20"/>
                <w:lang w:eastAsia="es-EC"/>
              </w:rPr>
              <w:t>Presentaciones digitales a cada participante.</w:t>
            </w:r>
          </w:p>
          <w:p w14:paraId="24A9CB0C" w14:textId="77777777" w:rsidR="00160081" w:rsidRPr="00160081" w:rsidRDefault="00160081" w:rsidP="00160081">
            <w:pPr>
              <w:pStyle w:val="Prrafodelista"/>
              <w:numPr>
                <w:ilvl w:val="3"/>
                <w:numId w:val="81"/>
              </w:numPr>
              <w:spacing w:after="0" w:line="276" w:lineRule="auto"/>
              <w:ind w:left="417" w:hanging="134"/>
              <w:jc w:val="both"/>
              <w:rPr>
                <w:rFonts w:cstheme="minorHAnsi"/>
                <w:color w:val="000000"/>
                <w:sz w:val="20"/>
                <w:szCs w:val="20"/>
                <w:lang w:eastAsia="es-EC"/>
              </w:rPr>
            </w:pPr>
            <w:r w:rsidRPr="00160081">
              <w:rPr>
                <w:rFonts w:cstheme="minorHAnsi"/>
                <w:color w:val="000000"/>
                <w:sz w:val="20"/>
                <w:szCs w:val="20"/>
                <w:lang w:eastAsia="es-EC"/>
              </w:rPr>
              <w:t>Al menos y sin limitarse a, toda la documentación complementaria como: manuales, documentos técnicos, videos, código.</w:t>
            </w:r>
          </w:p>
          <w:p w14:paraId="20DF51B8" w14:textId="77777777" w:rsidR="00160081" w:rsidRPr="00160081" w:rsidRDefault="00160081" w:rsidP="00160081">
            <w:pPr>
              <w:pStyle w:val="Prrafodelista"/>
              <w:numPr>
                <w:ilvl w:val="3"/>
                <w:numId w:val="81"/>
              </w:numPr>
              <w:spacing w:after="0" w:line="276" w:lineRule="auto"/>
              <w:ind w:left="417" w:hanging="134"/>
              <w:jc w:val="both"/>
              <w:rPr>
                <w:rFonts w:cstheme="minorHAnsi"/>
                <w:color w:val="000000"/>
                <w:sz w:val="20"/>
                <w:szCs w:val="20"/>
                <w:lang w:eastAsia="es-EC"/>
              </w:rPr>
            </w:pPr>
            <w:r w:rsidRPr="00160081">
              <w:rPr>
                <w:rFonts w:cstheme="minorHAnsi"/>
                <w:color w:val="000000"/>
                <w:sz w:val="20"/>
                <w:szCs w:val="20"/>
                <w:lang w:eastAsia="es-EC"/>
              </w:rPr>
              <w:t>Certificados respectivos.</w:t>
            </w:r>
          </w:p>
          <w:p w14:paraId="324EC8D3"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En caso de que el proceso sea virtual, el contratista grabará las sesiones y entregará los archivos correspondientes.</w:t>
            </w:r>
          </w:p>
          <w:p w14:paraId="137B1D59" w14:textId="77777777" w:rsidR="00160081" w:rsidRPr="00160081" w:rsidRDefault="00160081" w:rsidP="00BD3D91">
            <w:pPr>
              <w:spacing w:line="276" w:lineRule="auto"/>
              <w:jc w:val="both"/>
              <w:rPr>
                <w:rFonts w:cstheme="minorHAnsi"/>
                <w:color w:val="000000"/>
                <w:sz w:val="20"/>
                <w:szCs w:val="20"/>
                <w:lang w:eastAsia="es-EC"/>
              </w:rPr>
            </w:pPr>
            <w:r w:rsidRPr="00160081">
              <w:rPr>
                <w:rFonts w:cstheme="minorHAnsi"/>
                <w:color w:val="000000"/>
                <w:sz w:val="20"/>
                <w:szCs w:val="20"/>
                <w:lang w:eastAsia="es-EC"/>
              </w:rPr>
              <w:t>Finalmente, el contratista entregará el listado de asistencia en caso de procesos presenciales o evidencia a través de listado de personas participantes en las sesiones virtuales.</w:t>
            </w:r>
          </w:p>
        </w:tc>
      </w:tr>
    </w:tbl>
    <w:p w14:paraId="24F2B666" w14:textId="77777777" w:rsidR="00160081" w:rsidRDefault="00160081" w:rsidP="00160081">
      <w:pPr>
        <w:suppressAutoHyphens/>
        <w:spacing w:line="276" w:lineRule="auto"/>
        <w:ind w:left="426"/>
        <w:rPr>
          <w:rFonts w:eastAsia="SimSun" w:cstheme="minorHAnsi"/>
          <w:i/>
          <w:iCs/>
          <w:sz w:val="20"/>
          <w:szCs w:val="20"/>
          <w:lang w:eastAsia="zh-CN"/>
        </w:rPr>
      </w:pPr>
    </w:p>
    <w:p w14:paraId="6CB74BAF" w14:textId="77777777" w:rsidR="00616507" w:rsidRDefault="00616507" w:rsidP="00160081">
      <w:pPr>
        <w:suppressAutoHyphens/>
        <w:spacing w:line="276" w:lineRule="auto"/>
        <w:ind w:left="426"/>
        <w:rPr>
          <w:rFonts w:eastAsia="SimSun" w:cstheme="minorHAnsi"/>
          <w:i/>
          <w:iCs/>
          <w:sz w:val="20"/>
          <w:szCs w:val="20"/>
          <w:lang w:eastAsia="zh-CN"/>
        </w:rPr>
      </w:pPr>
    </w:p>
    <w:p w14:paraId="695533A6" w14:textId="77777777" w:rsidR="00616507" w:rsidRPr="00160081" w:rsidRDefault="00616507" w:rsidP="00160081">
      <w:pPr>
        <w:suppressAutoHyphens/>
        <w:spacing w:line="276" w:lineRule="auto"/>
        <w:ind w:left="426"/>
        <w:rPr>
          <w:rFonts w:eastAsia="SimSun" w:cstheme="minorHAnsi"/>
          <w:i/>
          <w:iCs/>
          <w:sz w:val="20"/>
          <w:szCs w:val="20"/>
          <w:lang w:eastAsia="zh-CN"/>
        </w:rPr>
      </w:pPr>
    </w:p>
    <w:p w14:paraId="0E4C25A0"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14" w:name="_Toc217326231"/>
      <w:r w:rsidRPr="00160081">
        <w:rPr>
          <w:rFonts w:asciiTheme="minorHAnsi" w:eastAsia="Times New Roman" w:hAnsiTheme="minorHAnsi" w:cstheme="minorHAnsi"/>
          <w:b/>
          <w:bCs/>
          <w:color w:val="000000" w:themeColor="text1"/>
          <w:sz w:val="20"/>
          <w:szCs w:val="20"/>
        </w:rPr>
        <w:t>9.3.1. Contenido propuesto para la transferencia de conocimientos especializados.</w:t>
      </w:r>
      <w:bookmarkEnd w:id="114"/>
    </w:p>
    <w:p w14:paraId="1A4C11F1" w14:textId="77777777" w:rsidR="00160081" w:rsidRPr="00160081" w:rsidRDefault="00160081" w:rsidP="00160081">
      <w:pPr>
        <w:suppressAutoHyphens/>
        <w:spacing w:line="276" w:lineRule="auto"/>
        <w:ind w:left="426"/>
        <w:jc w:val="both"/>
        <w:rPr>
          <w:rFonts w:eastAsia="SimSun" w:cstheme="minorHAnsi"/>
          <w:sz w:val="20"/>
          <w:szCs w:val="20"/>
        </w:rPr>
      </w:pPr>
    </w:p>
    <w:p w14:paraId="73590178" w14:textId="77777777" w:rsidR="00160081" w:rsidRPr="00160081" w:rsidRDefault="00160081" w:rsidP="00160081">
      <w:pPr>
        <w:jc w:val="both"/>
        <w:rPr>
          <w:rFonts w:eastAsia="SimSun" w:cstheme="minorHAnsi"/>
          <w:sz w:val="20"/>
          <w:szCs w:val="20"/>
        </w:rPr>
      </w:pPr>
      <w:r w:rsidRPr="00160081">
        <w:rPr>
          <w:rFonts w:eastAsia="SimSun" w:cstheme="minorHAnsi"/>
          <w:sz w:val="20"/>
          <w:szCs w:val="20"/>
        </w:rPr>
        <w:t>Se realizará conforme a lo establecido en el plan de transferencia de conocimientos especializados aprobado por el administrador del contrato y presentado por el contratista, en este se considerará al menos el siguiente contenido y participantes:</w:t>
      </w:r>
    </w:p>
    <w:p w14:paraId="389A5E44" w14:textId="77777777" w:rsidR="00160081" w:rsidRPr="00160081" w:rsidRDefault="00160081" w:rsidP="00160081">
      <w:pPr>
        <w:pStyle w:val="Prrafodelista"/>
        <w:spacing w:line="276" w:lineRule="auto"/>
        <w:ind w:left="0"/>
        <w:rPr>
          <w:rFonts w:cstheme="minorHAnsi"/>
          <w:sz w:val="20"/>
          <w:szCs w:val="20"/>
        </w:rPr>
      </w:pPr>
    </w:p>
    <w:tbl>
      <w:tblPr>
        <w:tblW w:w="933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336"/>
        <w:gridCol w:w="1975"/>
        <w:gridCol w:w="4025"/>
      </w:tblGrid>
      <w:tr w:rsidR="00160081" w:rsidRPr="00160081" w14:paraId="68DB1310" w14:textId="77777777" w:rsidTr="00BD3D91">
        <w:trPr>
          <w:trHeight w:val="560"/>
        </w:trPr>
        <w:tc>
          <w:tcPr>
            <w:tcW w:w="9336" w:type="dxa"/>
            <w:gridSpan w:val="3"/>
            <w:vAlign w:val="center"/>
          </w:tcPr>
          <w:p w14:paraId="151F3258" w14:textId="77777777" w:rsidR="00160081" w:rsidRPr="00160081" w:rsidRDefault="00160081" w:rsidP="00BD3D91">
            <w:pPr>
              <w:jc w:val="center"/>
              <w:rPr>
                <w:rFonts w:cstheme="minorHAnsi"/>
                <w:b/>
                <w:sz w:val="20"/>
                <w:szCs w:val="20"/>
              </w:rPr>
            </w:pPr>
            <w:bookmarkStart w:id="115" w:name="OLE_LINK50"/>
            <w:r w:rsidRPr="00160081">
              <w:rPr>
                <w:rFonts w:cstheme="minorHAnsi"/>
                <w:b/>
                <w:sz w:val="20"/>
                <w:szCs w:val="20"/>
              </w:rPr>
              <w:t>Introducción de la solución contratada</w:t>
            </w:r>
            <w:bookmarkEnd w:id="115"/>
          </w:p>
        </w:tc>
      </w:tr>
      <w:tr w:rsidR="00160081" w:rsidRPr="00160081" w14:paraId="65F23F84" w14:textId="77777777" w:rsidTr="00BD3D91">
        <w:trPr>
          <w:trHeight w:val="560"/>
        </w:trPr>
        <w:tc>
          <w:tcPr>
            <w:tcW w:w="3336" w:type="dxa"/>
            <w:vAlign w:val="center"/>
            <w:hideMark/>
          </w:tcPr>
          <w:p w14:paraId="37773663" w14:textId="77777777" w:rsidR="00160081" w:rsidRPr="00160081" w:rsidRDefault="00160081" w:rsidP="00BD3D91">
            <w:pPr>
              <w:jc w:val="center"/>
              <w:rPr>
                <w:rFonts w:cstheme="minorHAnsi"/>
                <w:b/>
                <w:sz w:val="20"/>
                <w:szCs w:val="20"/>
              </w:rPr>
            </w:pPr>
            <w:bookmarkStart w:id="116" w:name="OLE_LINK33"/>
            <w:r w:rsidRPr="00160081">
              <w:rPr>
                <w:rFonts w:cstheme="minorHAnsi"/>
                <w:b/>
                <w:sz w:val="20"/>
                <w:szCs w:val="20"/>
              </w:rPr>
              <w:t>Participantes mínimos requeridos</w:t>
            </w:r>
          </w:p>
        </w:tc>
        <w:tc>
          <w:tcPr>
            <w:tcW w:w="1975" w:type="dxa"/>
            <w:vAlign w:val="center"/>
            <w:hideMark/>
          </w:tcPr>
          <w:p w14:paraId="736E4B2E" w14:textId="77777777" w:rsidR="00160081" w:rsidRPr="00160081" w:rsidRDefault="00160081" w:rsidP="00BD3D91">
            <w:pPr>
              <w:jc w:val="center"/>
              <w:rPr>
                <w:rFonts w:cstheme="minorHAnsi"/>
                <w:b/>
                <w:sz w:val="20"/>
                <w:szCs w:val="20"/>
              </w:rPr>
            </w:pPr>
            <w:r w:rsidRPr="00160081">
              <w:rPr>
                <w:rFonts w:cstheme="minorHAnsi"/>
                <w:b/>
                <w:sz w:val="20"/>
                <w:szCs w:val="20"/>
              </w:rPr>
              <w:t>Temas para tratarse</w:t>
            </w:r>
          </w:p>
        </w:tc>
        <w:tc>
          <w:tcPr>
            <w:tcW w:w="4024" w:type="dxa"/>
            <w:vAlign w:val="center"/>
            <w:hideMark/>
          </w:tcPr>
          <w:p w14:paraId="69470E08" w14:textId="77777777" w:rsidR="00160081" w:rsidRPr="00160081" w:rsidRDefault="00160081" w:rsidP="00BD3D91">
            <w:pPr>
              <w:jc w:val="center"/>
              <w:rPr>
                <w:rFonts w:cstheme="minorHAnsi"/>
                <w:b/>
                <w:sz w:val="20"/>
                <w:szCs w:val="20"/>
              </w:rPr>
            </w:pPr>
            <w:r w:rsidRPr="00160081">
              <w:rPr>
                <w:rFonts w:cstheme="minorHAnsi"/>
                <w:b/>
                <w:sz w:val="20"/>
                <w:szCs w:val="20"/>
              </w:rPr>
              <w:t>Contenido</w:t>
            </w:r>
          </w:p>
        </w:tc>
      </w:tr>
      <w:bookmarkEnd w:id="116"/>
      <w:tr w:rsidR="00160081" w:rsidRPr="00160081" w14:paraId="0F5079AE" w14:textId="77777777" w:rsidTr="00BD3D91">
        <w:trPr>
          <w:trHeight w:val="571"/>
        </w:trPr>
        <w:tc>
          <w:tcPr>
            <w:tcW w:w="3336" w:type="dxa"/>
            <w:hideMark/>
          </w:tcPr>
          <w:p w14:paraId="197B9966" w14:textId="77777777" w:rsidR="00160081" w:rsidRPr="00160081" w:rsidRDefault="00160081" w:rsidP="00160081">
            <w:pPr>
              <w:numPr>
                <w:ilvl w:val="0"/>
                <w:numId w:val="60"/>
              </w:numPr>
              <w:spacing w:after="0" w:line="240" w:lineRule="auto"/>
              <w:ind w:left="338"/>
              <w:jc w:val="both"/>
              <w:rPr>
                <w:rFonts w:cstheme="minorHAnsi"/>
                <w:color w:val="000000"/>
                <w:sz w:val="20"/>
                <w:szCs w:val="20"/>
                <w:lang w:eastAsia="es-EC"/>
              </w:rPr>
            </w:pPr>
            <w:r w:rsidRPr="00160081">
              <w:rPr>
                <w:rFonts w:cstheme="minorHAnsi"/>
                <w:color w:val="000000"/>
                <w:sz w:val="20"/>
                <w:szCs w:val="20"/>
                <w:lang w:eastAsia="es-EC"/>
              </w:rPr>
              <w:t>Usuarios Funcionales: Al menos 1749</w:t>
            </w:r>
          </w:p>
          <w:p w14:paraId="35B8ADDB" w14:textId="77777777" w:rsidR="00160081" w:rsidRPr="00160081" w:rsidRDefault="00160081" w:rsidP="00160081">
            <w:pPr>
              <w:numPr>
                <w:ilvl w:val="0"/>
                <w:numId w:val="60"/>
              </w:numPr>
              <w:spacing w:after="0" w:line="240" w:lineRule="auto"/>
              <w:ind w:left="338"/>
              <w:jc w:val="both"/>
              <w:rPr>
                <w:rFonts w:cstheme="minorHAnsi"/>
                <w:color w:val="000000"/>
                <w:sz w:val="20"/>
                <w:szCs w:val="20"/>
                <w:lang w:eastAsia="es-EC"/>
              </w:rPr>
            </w:pPr>
            <w:r w:rsidRPr="00160081">
              <w:rPr>
                <w:rFonts w:cstheme="minorHAnsi"/>
                <w:color w:val="000000"/>
                <w:sz w:val="20"/>
                <w:szCs w:val="20"/>
                <w:lang w:eastAsia="es-EC"/>
              </w:rPr>
              <w:t>Usuarios Técnicos: Al menos 20</w:t>
            </w:r>
          </w:p>
          <w:p w14:paraId="08F26F32" w14:textId="77777777" w:rsidR="00160081" w:rsidRPr="00160081" w:rsidRDefault="00160081" w:rsidP="00160081">
            <w:pPr>
              <w:numPr>
                <w:ilvl w:val="0"/>
                <w:numId w:val="60"/>
              </w:numPr>
              <w:spacing w:after="0" w:line="240" w:lineRule="auto"/>
              <w:ind w:left="338"/>
              <w:jc w:val="both"/>
              <w:rPr>
                <w:rFonts w:cstheme="minorHAnsi"/>
                <w:color w:val="000000"/>
                <w:sz w:val="20"/>
                <w:szCs w:val="20"/>
                <w:lang w:eastAsia="es-EC"/>
              </w:rPr>
            </w:pPr>
            <w:r w:rsidRPr="00160081">
              <w:rPr>
                <w:rFonts w:cstheme="minorHAnsi"/>
                <w:color w:val="000000"/>
                <w:sz w:val="20"/>
                <w:szCs w:val="20"/>
                <w:lang w:eastAsia="es-EC"/>
              </w:rPr>
              <w:t>Usuarios administradores de la solución a implementar: Al menos 8</w:t>
            </w:r>
          </w:p>
        </w:tc>
        <w:tc>
          <w:tcPr>
            <w:tcW w:w="1975" w:type="dxa"/>
            <w:hideMark/>
          </w:tcPr>
          <w:p w14:paraId="57A09353" w14:textId="77777777" w:rsidR="00160081" w:rsidRPr="00160081" w:rsidRDefault="00160081" w:rsidP="00BD3D91">
            <w:pPr>
              <w:rPr>
                <w:rFonts w:cstheme="minorHAnsi"/>
                <w:sz w:val="20"/>
                <w:szCs w:val="20"/>
              </w:rPr>
            </w:pPr>
          </w:p>
          <w:p w14:paraId="4640BFE7" w14:textId="77777777" w:rsidR="00160081" w:rsidRPr="00160081" w:rsidRDefault="00160081" w:rsidP="00BD3D91">
            <w:pPr>
              <w:rPr>
                <w:rFonts w:cstheme="minorHAnsi"/>
                <w:sz w:val="20"/>
                <w:szCs w:val="20"/>
              </w:rPr>
            </w:pPr>
            <w:r w:rsidRPr="00160081">
              <w:rPr>
                <w:rFonts w:cstheme="minorHAnsi"/>
                <w:sz w:val="20"/>
                <w:szCs w:val="20"/>
              </w:rPr>
              <w:t xml:space="preserve">Introducción de la herramienta contratada </w:t>
            </w:r>
          </w:p>
        </w:tc>
        <w:tc>
          <w:tcPr>
            <w:tcW w:w="4024" w:type="dxa"/>
            <w:hideMark/>
          </w:tcPr>
          <w:p w14:paraId="3D0ED836" w14:textId="77777777" w:rsidR="00160081" w:rsidRPr="00160081" w:rsidRDefault="00160081" w:rsidP="00BD3D91">
            <w:pPr>
              <w:rPr>
                <w:rFonts w:cstheme="minorHAnsi"/>
                <w:sz w:val="20"/>
                <w:szCs w:val="20"/>
              </w:rPr>
            </w:pPr>
            <w:r w:rsidRPr="00160081">
              <w:rPr>
                <w:rFonts w:cstheme="minorHAnsi"/>
                <w:sz w:val="20"/>
                <w:szCs w:val="20"/>
              </w:rPr>
              <w:t>1.- Conceptos de la gestión de servicio tecnológicos</w:t>
            </w:r>
          </w:p>
          <w:p w14:paraId="7D895A8B" w14:textId="77777777" w:rsidR="00160081" w:rsidRPr="00160081" w:rsidRDefault="00160081" w:rsidP="00BD3D91">
            <w:pPr>
              <w:rPr>
                <w:rFonts w:cstheme="minorHAnsi"/>
                <w:sz w:val="20"/>
                <w:szCs w:val="20"/>
              </w:rPr>
            </w:pPr>
            <w:r w:rsidRPr="00160081">
              <w:rPr>
                <w:rFonts w:cstheme="minorHAnsi"/>
                <w:sz w:val="20"/>
                <w:szCs w:val="20"/>
              </w:rPr>
              <w:t>2.- Beneficios de la herramienta</w:t>
            </w:r>
          </w:p>
          <w:p w14:paraId="196378EA" w14:textId="77777777" w:rsidR="00160081" w:rsidRPr="00160081" w:rsidRDefault="00160081" w:rsidP="00BD3D91">
            <w:pPr>
              <w:rPr>
                <w:rFonts w:cstheme="minorHAnsi"/>
                <w:sz w:val="20"/>
                <w:szCs w:val="20"/>
              </w:rPr>
            </w:pPr>
            <w:r w:rsidRPr="00160081">
              <w:rPr>
                <w:rFonts w:cstheme="minorHAnsi"/>
                <w:sz w:val="20"/>
                <w:szCs w:val="20"/>
              </w:rPr>
              <w:t>3.-Introducción al Portal de servicios</w:t>
            </w:r>
          </w:p>
          <w:p w14:paraId="18226A93" w14:textId="77777777" w:rsidR="00160081" w:rsidRPr="00160081" w:rsidRDefault="00160081" w:rsidP="00BD3D91">
            <w:pPr>
              <w:rPr>
                <w:rFonts w:cstheme="minorHAnsi"/>
                <w:sz w:val="20"/>
                <w:szCs w:val="20"/>
              </w:rPr>
            </w:pPr>
            <w:r w:rsidRPr="00160081">
              <w:rPr>
                <w:rFonts w:cstheme="minorHAnsi"/>
                <w:sz w:val="20"/>
                <w:szCs w:val="20"/>
              </w:rPr>
              <w:t>4.- Breve explicación de cada módulo implementado.</w:t>
            </w:r>
          </w:p>
          <w:p w14:paraId="7B5F3A67" w14:textId="77777777" w:rsidR="00160081" w:rsidRPr="00160081" w:rsidRDefault="00160081" w:rsidP="00BD3D91">
            <w:pPr>
              <w:rPr>
                <w:rFonts w:cstheme="minorHAnsi"/>
                <w:sz w:val="20"/>
                <w:szCs w:val="20"/>
              </w:rPr>
            </w:pPr>
          </w:p>
        </w:tc>
      </w:tr>
    </w:tbl>
    <w:p w14:paraId="1D58D038" w14:textId="77777777" w:rsidR="00160081" w:rsidRPr="00160081" w:rsidRDefault="00160081" w:rsidP="00160081">
      <w:pPr>
        <w:rPr>
          <w:rFonts w:cstheme="minorHAnsi"/>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234"/>
        <w:gridCol w:w="4920"/>
      </w:tblGrid>
      <w:tr w:rsidR="00160081" w:rsidRPr="00160081" w14:paraId="62BE301A" w14:textId="77777777" w:rsidTr="00616507">
        <w:trPr>
          <w:trHeight w:val="680"/>
          <w:tblHeader/>
        </w:trPr>
        <w:tc>
          <w:tcPr>
            <w:tcW w:w="9351" w:type="dxa"/>
            <w:gridSpan w:val="3"/>
            <w:vAlign w:val="center"/>
          </w:tcPr>
          <w:p w14:paraId="7338BD2C" w14:textId="77777777" w:rsidR="00160081" w:rsidRPr="00160081" w:rsidRDefault="00160081" w:rsidP="00BD3D91">
            <w:pPr>
              <w:jc w:val="center"/>
              <w:rPr>
                <w:rFonts w:cstheme="minorHAnsi"/>
                <w:b/>
                <w:bCs/>
                <w:color w:val="000000"/>
                <w:sz w:val="20"/>
                <w:szCs w:val="20"/>
              </w:rPr>
            </w:pPr>
            <w:bookmarkStart w:id="117" w:name="OLE_LINK51"/>
            <w:r w:rsidRPr="00160081">
              <w:rPr>
                <w:rFonts w:cstheme="minorHAnsi"/>
                <w:b/>
                <w:sz w:val="20"/>
                <w:szCs w:val="20"/>
              </w:rPr>
              <w:t>Administración de la solución tecnológica</w:t>
            </w:r>
            <w:bookmarkEnd w:id="117"/>
          </w:p>
        </w:tc>
      </w:tr>
      <w:tr w:rsidR="00160081" w:rsidRPr="00160081" w14:paraId="23EE56F6" w14:textId="77777777" w:rsidTr="00616507">
        <w:trPr>
          <w:trHeight w:val="680"/>
          <w:tblHeader/>
        </w:trPr>
        <w:tc>
          <w:tcPr>
            <w:tcW w:w="0" w:type="auto"/>
            <w:vAlign w:val="center"/>
            <w:hideMark/>
          </w:tcPr>
          <w:p w14:paraId="35483DAC" w14:textId="77777777" w:rsidR="00160081" w:rsidRPr="00160081" w:rsidRDefault="00160081" w:rsidP="00BD3D91">
            <w:pPr>
              <w:rPr>
                <w:rFonts w:cstheme="minorHAnsi"/>
                <w:b/>
                <w:bCs/>
                <w:color w:val="000000"/>
                <w:sz w:val="20"/>
                <w:szCs w:val="20"/>
              </w:rPr>
            </w:pPr>
            <w:r w:rsidRPr="00160081">
              <w:rPr>
                <w:rFonts w:cstheme="minorHAnsi"/>
                <w:b/>
                <w:bCs/>
                <w:color w:val="000000"/>
                <w:sz w:val="20"/>
                <w:szCs w:val="20"/>
              </w:rPr>
              <w:t>Participantes mínimos requeridos</w:t>
            </w:r>
          </w:p>
        </w:tc>
        <w:tc>
          <w:tcPr>
            <w:tcW w:w="0" w:type="auto"/>
            <w:vAlign w:val="center"/>
            <w:hideMark/>
          </w:tcPr>
          <w:p w14:paraId="2F72BC5D" w14:textId="77777777" w:rsidR="00160081" w:rsidRPr="00160081" w:rsidRDefault="00160081" w:rsidP="00BD3D91">
            <w:pPr>
              <w:rPr>
                <w:rFonts w:cstheme="minorHAnsi"/>
                <w:b/>
                <w:bCs/>
                <w:color w:val="000000"/>
                <w:sz w:val="20"/>
                <w:szCs w:val="20"/>
              </w:rPr>
            </w:pPr>
            <w:proofErr w:type="gramStart"/>
            <w:r w:rsidRPr="00160081">
              <w:rPr>
                <w:rFonts w:cstheme="minorHAnsi"/>
                <w:b/>
                <w:bCs/>
                <w:color w:val="000000"/>
                <w:sz w:val="20"/>
                <w:szCs w:val="20"/>
              </w:rPr>
              <w:t>Temas a tratar</w:t>
            </w:r>
            <w:proofErr w:type="gramEnd"/>
          </w:p>
        </w:tc>
        <w:tc>
          <w:tcPr>
            <w:tcW w:w="4920" w:type="dxa"/>
            <w:vAlign w:val="center"/>
            <w:hideMark/>
          </w:tcPr>
          <w:p w14:paraId="5FB0FD32" w14:textId="77777777" w:rsidR="00160081" w:rsidRPr="00160081" w:rsidRDefault="00160081" w:rsidP="00BD3D91">
            <w:pPr>
              <w:rPr>
                <w:rFonts w:cstheme="minorHAnsi"/>
                <w:b/>
                <w:bCs/>
                <w:color w:val="000000"/>
                <w:sz w:val="20"/>
                <w:szCs w:val="20"/>
              </w:rPr>
            </w:pPr>
            <w:r w:rsidRPr="00160081">
              <w:rPr>
                <w:rFonts w:cstheme="minorHAnsi"/>
                <w:b/>
                <w:bCs/>
                <w:color w:val="000000"/>
                <w:sz w:val="20"/>
                <w:szCs w:val="20"/>
              </w:rPr>
              <w:t>Contenido mínimo obligatorio</w:t>
            </w:r>
          </w:p>
        </w:tc>
      </w:tr>
      <w:tr w:rsidR="00160081" w:rsidRPr="00160081" w14:paraId="5DF68D9A" w14:textId="77777777" w:rsidTr="00616507">
        <w:trPr>
          <w:trHeight w:val="2040"/>
        </w:trPr>
        <w:tc>
          <w:tcPr>
            <w:tcW w:w="0" w:type="auto"/>
            <w:vAlign w:val="center"/>
            <w:hideMark/>
          </w:tcPr>
          <w:p w14:paraId="098ACF25" w14:textId="77777777" w:rsidR="00160081" w:rsidRPr="00160081" w:rsidRDefault="00160081" w:rsidP="00BD3D91">
            <w:pPr>
              <w:rPr>
                <w:rFonts w:cstheme="minorHAnsi"/>
                <w:color w:val="000000"/>
                <w:sz w:val="20"/>
                <w:szCs w:val="20"/>
              </w:rPr>
            </w:pPr>
            <w:bookmarkStart w:id="118" w:name="OLE_LINK37"/>
            <w:r w:rsidRPr="00160081">
              <w:rPr>
                <w:rFonts w:cstheme="minorHAnsi"/>
                <w:color w:val="000000"/>
                <w:sz w:val="20"/>
                <w:szCs w:val="20"/>
              </w:rPr>
              <w:t xml:space="preserve">Usuarios Funcionales: Al menos </w:t>
            </w:r>
            <w:bookmarkEnd w:id="118"/>
            <w:r w:rsidRPr="00160081">
              <w:rPr>
                <w:rFonts w:cstheme="minorHAnsi"/>
                <w:color w:val="000000"/>
                <w:sz w:val="20"/>
                <w:szCs w:val="20"/>
              </w:rPr>
              <w:t>1749</w:t>
            </w:r>
          </w:p>
        </w:tc>
        <w:tc>
          <w:tcPr>
            <w:tcW w:w="0" w:type="auto"/>
            <w:vAlign w:val="center"/>
            <w:hideMark/>
          </w:tcPr>
          <w:p w14:paraId="2D3985A0" w14:textId="77777777" w:rsidR="00160081" w:rsidRPr="00160081" w:rsidRDefault="00160081" w:rsidP="00BD3D91">
            <w:pPr>
              <w:rPr>
                <w:rFonts w:cstheme="minorHAnsi"/>
                <w:color w:val="000000"/>
                <w:sz w:val="20"/>
                <w:szCs w:val="20"/>
              </w:rPr>
            </w:pPr>
            <w:r w:rsidRPr="00160081">
              <w:rPr>
                <w:rFonts w:cstheme="minorHAnsi"/>
                <w:color w:val="000000"/>
                <w:sz w:val="20"/>
                <w:szCs w:val="20"/>
              </w:rPr>
              <w:t>Uso funcional de la solución</w:t>
            </w:r>
          </w:p>
        </w:tc>
        <w:tc>
          <w:tcPr>
            <w:tcW w:w="4920" w:type="dxa"/>
            <w:vAlign w:val="center"/>
            <w:hideMark/>
          </w:tcPr>
          <w:p w14:paraId="12C8140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Uso operativo de la suite por módulo (casos de uso implementados):</w:t>
            </w:r>
          </w:p>
          <w:p w14:paraId="20B546A2" w14:textId="77777777" w:rsidR="00160081" w:rsidRPr="00160081" w:rsidRDefault="00160081" w:rsidP="00BD3D91">
            <w:pPr>
              <w:ind w:left="178"/>
              <w:rPr>
                <w:rFonts w:cstheme="minorHAnsi"/>
                <w:color w:val="000000"/>
                <w:sz w:val="20"/>
                <w:szCs w:val="20"/>
              </w:rPr>
            </w:pPr>
            <w:r w:rsidRPr="00160081">
              <w:rPr>
                <w:rFonts w:cstheme="minorHAnsi"/>
                <w:color w:val="000000"/>
                <w:sz w:val="20"/>
                <w:szCs w:val="20"/>
              </w:rPr>
              <w:t>– ECM (gestión documental y expedientes)</w:t>
            </w:r>
          </w:p>
          <w:p w14:paraId="65637284" w14:textId="77777777" w:rsidR="00160081" w:rsidRPr="00160081" w:rsidRDefault="00160081" w:rsidP="00BD3D91">
            <w:pPr>
              <w:ind w:left="178"/>
              <w:rPr>
                <w:rFonts w:cstheme="minorHAnsi"/>
                <w:color w:val="000000"/>
                <w:sz w:val="20"/>
                <w:szCs w:val="20"/>
              </w:rPr>
            </w:pPr>
            <w:r w:rsidRPr="00160081">
              <w:rPr>
                <w:rFonts w:cstheme="minorHAnsi"/>
                <w:color w:val="000000"/>
                <w:sz w:val="20"/>
                <w:szCs w:val="20"/>
              </w:rPr>
              <w:t>– BRMS (gestión y ejecución de decisiones/reglas)</w:t>
            </w:r>
          </w:p>
          <w:p w14:paraId="332D1E9A" w14:textId="77777777" w:rsidR="00160081" w:rsidRPr="00160081" w:rsidRDefault="00160081" w:rsidP="00BD3D91">
            <w:pPr>
              <w:ind w:left="178"/>
              <w:rPr>
                <w:rFonts w:cstheme="minorHAnsi"/>
                <w:color w:val="000000"/>
                <w:sz w:val="20"/>
                <w:szCs w:val="20"/>
              </w:rPr>
            </w:pPr>
            <w:r w:rsidRPr="00160081">
              <w:rPr>
                <w:rFonts w:cstheme="minorHAnsi"/>
                <w:color w:val="000000"/>
                <w:sz w:val="20"/>
                <w:szCs w:val="20"/>
              </w:rPr>
              <w:t>– BPMS (ejecución y seguimiento de procesos)</w:t>
            </w:r>
          </w:p>
          <w:p w14:paraId="64FBBBF5" w14:textId="77777777" w:rsidR="00160081" w:rsidRPr="00160081" w:rsidRDefault="00160081" w:rsidP="00BD3D91">
            <w:pPr>
              <w:ind w:left="178"/>
              <w:rPr>
                <w:rFonts w:cstheme="minorHAnsi"/>
                <w:color w:val="000000"/>
                <w:sz w:val="20"/>
                <w:szCs w:val="20"/>
              </w:rPr>
            </w:pPr>
            <w:r w:rsidRPr="00160081">
              <w:rPr>
                <w:rFonts w:cstheme="minorHAnsi"/>
                <w:color w:val="000000"/>
                <w:sz w:val="20"/>
                <w:szCs w:val="20"/>
              </w:rPr>
              <w:t>– Sistema de Gestión de Riesgos (SGRT u otros casos de uso definidos)</w:t>
            </w:r>
          </w:p>
          <w:p w14:paraId="286680D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Ejecución de casos de uso según el rol</w:t>
            </w:r>
          </w:p>
          <w:p w14:paraId="7F68B17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tareas, bandejas, estados y notificaciones</w:t>
            </w:r>
          </w:p>
          <w:p w14:paraId="6E6CC60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Interpretación de resultados y trazabilidad</w:t>
            </w:r>
          </w:p>
        </w:tc>
      </w:tr>
      <w:tr w:rsidR="00160081" w:rsidRPr="00160081" w14:paraId="1BC2958B" w14:textId="77777777" w:rsidTr="00616507">
        <w:trPr>
          <w:trHeight w:val="757"/>
        </w:trPr>
        <w:tc>
          <w:tcPr>
            <w:tcW w:w="0" w:type="auto"/>
            <w:vAlign w:val="center"/>
            <w:hideMark/>
          </w:tcPr>
          <w:p w14:paraId="56A345A7" w14:textId="77777777" w:rsidR="00160081" w:rsidRPr="00160081" w:rsidRDefault="00160081" w:rsidP="00BD3D91">
            <w:pPr>
              <w:rPr>
                <w:rFonts w:cstheme="minorHAnsi"/>
                <w:color w:val="000000"/>
                <w:sz w:val="20"/>
                <w:szCs w:val="20"/>
              </w:rPr>
            </w:pPr>
            <w:r w:rsidRPr="00160081">
              <w:rPr>
                <w:rFonts w:cstheme="minorHAnsi"/>
                <w:color w:val="000000"/>
                <w:sz w:val="20"/>
                <w:szCs w:val="20"/>
              </w:rPr>
              <w:t>Usuarios Funcionales Avanzados: Al menos 94</w:t>
            </w:r>
          </w:p>
        </w:tc>
        <w:tc>
          <w:tcPr>
            <w:tcW w:w="0" w:type="auto"/>
            <w:vAlign w:val="center"/>
            <w:hideMark/>
          </w:tcPr>
          <w:p w14:paraId="50B40969"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Configuración funcional y mejores prácticas</w:t>
            </w:r>
          </w:p>
        </w:tc>
        <w:tc>
          <w:tcPr>
            <w:tcW w:w="4920" w:type="dxa"/>
            <w:vAlign w:val="center"/>
            <w:hideMark/>
          </w:tcPr>
          <w:p w14:paraId="25D9D0A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Parametrización funcional de procesos, reglas y expedientes</w:t>
            </w:r>
          </w:p>
          <w:p w14:paraId="302619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Definición de formularios, metadatos y flujos de aprobación</w:t>
            </w:r>
          </w:p>
          <w:p w14:paraId="409C73D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reglas de negocio (activación, vigencia, versionado)</w:t>
            </w:r>
          </w:p>
          <w:p w14:paraId="4D14268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Escenarios de uso específicos del SRI (casos prácticos por área)</w:t>
            </w:r>
          </w:p>
          <w:p w14:paraId="1917618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Cumplimiento normativo aplicable a procesos, decisiones y documentos</w:t>
            </w:r>
          </w:p>
          <w:p w14:paraId="3104AF3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Recomendaciones de configuración orientadas a optimización operativa y reducción de costos</w:t>
            </w:r>
          </w:p>
        </w:tc>
      </w:tr>
      <w:tr w:rsidR="00160081" w:rsidRPr="00160081" w14:paraId="00DD96B4" w14:textId="77777777" w:rsidTr="00616507">
        <w:trPr>
          <w:trHeight w:val="1182"/>
        </w:trPr>
        <w:tc>
          <w:tcPr>
            <w:tcW w:w="0" w:type="auto"/>
            <w:vAlign w:val="center"/>
            <w:hideMark/>
          </w:tcPr>
          <w:p w14:paraId="12EFB0B1" w14:textId="77777777" w:rsidR="00160081" w:rsidRPr="00160081" w:rsidRDefault="00160081" w:rsidP="00BD3D91">
            <w:pPr>
              <w:rPr>
                <w:rFonts w:cstheme="minorHAnsi"/>
                <w:color w:val="000000"/>
                <w:sz w:val="20"/>
                <w:szCs w:val="20"/>
              </w:rPr>
            </w:pPr>
            <w:r w:rsidRPr="00160081">
              <w:rPr>
                <w:rFonts w:cstheme="minorHAnsi"/>
                <w:color w:val="000000"/>
                <w:sz w:val="20"/>
                <w:szCs w:val="20"/>
              </w:rPr>
              <w:t>Usuarios Técnicos: Al menos 20</w:t>
            </w:r>
          </w:p>
        </w:tc>
        <w:tc>
          <w:tcPr>
            <w:tcW w:w="0" w:type="auto"/>
            <w:vAlign w:val="center"/>
            <w:hideMark/>
          </w:tcPr>
          <w:p w14:paraId="105A3CD0" w14:textId="77777777" w:rsidR="00160081" w:rsidRPr="00160081" w:rsidRDefault="00160081" w:rsidP="00BD3D91">
            <w:pPr>
              <w:rPr>
                <w:rFonts w:cstheme="minorHAnsi"/>
                <w:color w:val="000000"/>
                <w:sz w:val="20"/>
                <w:szCs w:val="20"/>
              </w:rPr>
            </w:pPr>
            <w:r w:rsidRPr="00160081">
              <w:rPr>
                <w:rFonts w:cstheme="minorHAnsi"/>
                <w:color w:val="000000"/>
                <w:sz w:val="20"/>
                <w:szCs w:val="20"/>
              </w:rPr>
              <w:t>Arquitectura, integración y operación técnica</w:t>
            </w:r>
          </w:p>
        </w:tc>
        <w:tc>
          <w:tcPr>
            <w:tcW w:w="4920" w:type="dxa"/>
            <w:vAlign w:val="center"/>
            <w:hideMark/>
          </w:tcPr>
          <w:p w14:paraId="70DBA81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Arquitectura lógica y física de la solución</w:t>
            </w:r>
          </w:p>
          <w:p w14:paraId="35CD555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Componentes de la suite y sus interacciones</w:t>
            </w:r>
          </w:p>
          <w:p w14:paraId="215018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Interfaces y mecanismos de integración (</w:t>
            </w:r>
            <w:proofErr w:type="spellStart"/>
            <w:r w:rsidRPr="00160081">
              <w:rPr>
                <w:rFonts w:cstheme="minorHAnsi"/>
                <w:color w:val="000000"/>
                <w:sz w:val="20"/>
                <w:szCs w:val="20"/>
              </w:rPr>
              <w:t>APIs</w:t>
            </w:r>
            <w:proofErr w:type="spellEnd"/>
            <w:r w:rsidRPr="00160081">
              <w:rPr>
                <w:rFonts w:cstheme="minorHAnsi"/>
                <w:color w:val="000000"/>
                <w:sz w:val="20"/>
                <w:szCs w:val="20"/>
              </w:rPr>
              <w:t>, mensajería, conectores)</w:t>
            </w:r>
          </w:p>
          <w:p w14:paraId="18B80AC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Rutas de archivos y repositorios documentales</w:t>
            </w:r>
          </w:p>
          <w:p w14:paraId="6781925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Estructura de base de datos y diccionario de datos (a nivel lógico)</w:t>
            </w:r>
          </w:p>
          <w:p w14:paraId="70D8C41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Configuración técnica de módulos BPMS, BRMS y ECM</w:t>
            </w:r>
          </w:p>
          <w:p w14:paraId="46E86D9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notificaciones técnicas y eventos</w:t>
            </w:r>
          </w:p>
          <w:p w14:paraId="5DC0363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Monitoreo técnico, métricas y logs</w:t>
            </w:r>
          </w:p>
          <w:p w14:paraId="31EC63A0"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respaldos y recuperación</w:t>
            </w:r>
          </w:p>
          <w:p w14:paraId="54B6B8D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Pruebas técnicas y de integración</w:t>
            </w:r>
          </w:p>
        </w:tc>
      </w:tr>
      <w:tr w:rsidR="00160081" w:rsidRPr="00160081" w14:paraId="06AC8761" w14:textId="77777777" w:rsidTr="00616507">
        <w:trPr>
          <w:trHeight w:val="2720"/>
        </w:trPr>
        <w:tc>
          <w:tcPr>
            <w:tcW w:w="0" w:type="auto"/>
            <w:vAlign w:val="center"/>
            <w:hideMark/>
          </w:tcPr>
          <w:p w14:paraId="4FEB2A44"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Administradores de la Solución: Al menos 8</w:t>
            </w:r>
          </w:p>
        </w:tc>
        <w:tc>
          <w:tcPr>
            <w:tcW w:w="0" w:type="auto"/>
            <w:vAlign w:val="center"/>
            <w:hideMark/>
          </w:tcPr>
          <w:p w14:paraId="0BC1595C" w14:textId="77777777" w:rsidR="00160081" w:rsidRPr="00160081" w:rsidRDefault="00160081" w:rsidP="00BD3D91">
            <w:pPr>
              <w:rPr>
                <w:rFonts w:cstheme="minorHAnsi"/>
                <w:color w:val="000000"/>
                <w:sz w:val="20"/>
                <w:szCs w:val="20"/>
              </w:rPr>
            </w:pPr>
            <w:r w:rsidRPr="00160081">
              <w:rPr>
                <w:rFonts w:cstheme="minorHAnsi"/>
                <w:color w:val="000000"/>
                <w:sz w:val="20"/>
                <w:szCs w:val="20"/>
              </w:rPr>
              <w:t>Administración integral y gobierno de la plataforma</w:t>
            </w:r>
          </w:p>
        </w:tc>
        <w:tc>
          <w:tcPr>
            <w:tcW w:w="4920" w:type="dxa"/>
            <w:vAlign w:val="center"/>
            <w:hideMark/>
          </w:tcPr>
          <w:p w14:paraId="138DD78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Administración de usuarios, grupos, roles y perfiles</w:t>
            </w:r>
          </w:p>
          <w:p w14:paraId="4391CC8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Configuración de seguridades implementadas (RBAC/ABAC, MFA, políticas)</w:t>
            </w:r>
          </w:p>
          <w:p w14:paraId="4B602E4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ambientes productivos y no productivos.</w:t>
            </w:r>
          </w:p>
          <w:p w14:paraId="43DB844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Manejo de versiones de procesos, reglas, expedientes y configuraciones</w:t>
            </w:r>
          </w:p>
          <w:p w14:paraId="576F4E2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Gestión de requerimientos y cambios</w:t>
            </w:r>
          </w:p>
          <w:p w14:paraId="6415C8E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Procedimientos de despliegue y migración entre ambientes</w:t>
            </w:r>
          </w:p>
          <w:p w14:paraId="32C9B34B" w14:textId="77777777" w:rsidR="00160081" w:rsidRPr="00160081" w:rsidRDefault="00160081" w:rsidP="00BD3D91">
            <w:pPr>
              <w:rPr>
                <w:rFonts w:cstheme="minorHAnsi"/>
                <w:color w:val="000000"/>
                <w:sz w:val="20"/>
                <w:szCs w:val="20"/>
              </w:rPr>
            </w:pPr>
            <w:r w:rsidRPr="00160081">
              <w:rPr>
                <w:rFonts w:cstheme="minorHAnsi"/>
                <w:color w:val="000000"/>
                <w:sz w:val="20"/>
                <w:szCs w:val="20"/>
              </w:rPr>
              <w:t>• Mantenimiento de la solución (preventivo, correctivo y evolutivo)</w:t>
            </w:r>
          </w:p>
          <w:p w14:paraId="7EF0088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Administración de reportes y tableros</w:t>
            </w:r>
          </w:p>
          <w:p w14:paraId="598328E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Auditoría, trazabilidad y cumplimiento</w:t>
            </w:r>
          </w:p>
          <w:p w14:paraId="17C549C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Procedimientos operativos estándar (operación diaria y contingencia)</w:t>
            </w:r>
          </w:p>
        </w:tc>
      </w:tr>
      <w:tr w:rsidR="00160081" w:rsidRPr="00160081" w14:paraId="26498C1C" w14:textId="77777777" w:rsidTr="00616507">
        <w:trPr>
          <w:trHeight w:val="1360"/>
        </w:trPr>
        <w:tc>
          <w:tcPr>
            <w:tcW w:w="0" w:type="auto"/>
            <w:vAlign w:val="center"/>
            <w:hideMark/>
          </w:tcPr>
          <w:p w14:paraId="23D2422C" w14:textId="77777777" w:rsidR="00160081" w:rsidRPr="00160081" w:rsidRDefault="00160081" w:rsidP="00BD3D91">
            <w:pPr>
              <w:rPr>
                <w:rFonts w:cstheme="minorHAnsi"/>
                <w:color w:val="000000"/>
                <w:sz w:val="20"/>
                <w:szCs w:val="20"/>
              </w:rPr>
            </w:pPr>
            <w:r w:rsidRPr="00160081">
              <w:rPr>
                <w:rFonts w:cstheme="minorHAnsi"/>
                <w:color w:val="000000"/>
                <w:sz w:val="20"/>
                <w:szCs w:val="20"/>
              </w:rPr>
              <w:t>Todos los perfiles: al menos 94</w:t>
            </w:r>
          </w:p>
        </w:tc>
        <w:tc>
          <w:tcPr>
            <w:tcW w:w="0" w:type="auto"/>
            <w:vAlign w:val="center"/>
            <w:hideMark/>
          </w:tcPr>
          <w:p w14:paraId="544152B9" w14:textId="77777777" w:rsidR="00160081" w:rsidRPr="00160081" w:rsidRDefault="00160081" w:rsidP="00BD3D91">
            <w:pPr>
              <w:rPr>
                <w:rFonts w:cstheme="minorHAnsi"/>
                <w:color w:val="000000"/>
                <w:sz w:val="20"/>
                <w:szCs w:val="20"/>
              </w:rPr>
            </w:pPr>
            <w:r w:rsidRPr="00160081">
              <w:rPr>
                <w:rFonts w:cstheme="minorHAnsi"/>
                <w:color w:val="000000"/>
                <w:sz w:val="20"/>
                <w:szCs w:val="20"/>
              </w:rPr>
              <w:t>Transferencia práctica y validación</w:t>
            </w:r>
          </w:p>
        </w:tc>
        <w:tc>
          <w:tcPr>
            <w:tcW w:w="4920" w:type="dxa"/>
            <w:vAlign w:val="center"/>
            <w:hideMark/>
          </w:tcPr>
          <w:p w14:paraId="690F5AA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Sesiones prácticas basadas en escenarios reales del SRI</w:t>
            </w:r>
          </w:p>
          <w:p w14:paraId="0D156B2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Ejercicios de “aprender haciendo” sobre procesos, reglas y documentos•</w:t>
            </w:r>
          </w:p>
          <w:p w14:paraId="09BD3AC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Validación conjunta de configuraciones y artefactos</w:t>
            </w:r>
          </w:p>
          <w:p w14:paraId="3B85665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Resolución de casos típicos y críticos</w:t>
            </w:r>
          </w:p>
          <w:p w14:paraId="07B42DB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Evaluación de conocimientos adquiridos</w:t>
            </w:r>
          </w:p>
        </w:tc>
      </w:tr>
    </w:tbl>
    <w:p w14:paraId="6E90D979" w14:textId="77777777" w:rsidR="00160081" w:rsidRPr="00160081" w:rsidRDefault="00160081" w:rsidP="00160081">
      <w:pPr>
        <w:pStyle w:val="Prrafodelista"/>
        <w:spacing w:line="276" w:lineRule="auto"/>
        <w:ind w:left="0"/>
        <w:rPr>
          <w:rFonts w:cstheme="minorHAnsi"/>
          <w:sz w:val="20"/>
          <w:szCs w:val="20"/>
        </w:rPr>
      </w:pPr>
    </w:p>
    <w:tbl>
      <w:tblPr>
        <w:tblStyle w:val="Tablaconcuadrcula"/>
        <w:tblW w:w="9351" w:type="dxa"/>
        <w:tblLook w:val="04A0" w:firstRow="1" w:lastRow="0" w:firstColumn="1" w:lastColumn="0" w:noHBand="0" w:noVBand="1"/>
      </w:tblPr>
      <w:tblGrid>
        <w:gridCol w:w="1542"/>
        <w:gridCol w:w="1661"/>
        <w:gridCol w:w="6148"/>
      </w:tblGrid>
      <w:tr w:rsidR="00160081" w:rsidRPr="00160081" w14:paraId="38C5AF71" w14:textId="77777777" w:rsidTr="00616507">
        <w:trPr>
          <w:tblHeader/>
        </w:trPr>
        <w:tc>
          <w:tcPr>
            <w:tcW w:w="9351" w:type="dxa"/>
            <w:gridSpan w:val="3"/>
            <w:vAlign w:val="center"/>
          </w:tcPr>
          <w:p w14:paraId="45F3E5DA" w14:textId="77777777" w:rsidR="00160081" w:rsidRPr="00160081" w:rsidRDefault="00160081" w:rsidP="00BD3D91">
            <w:pPr>
              <w:jc w:val="center"/>
              <w:rPr>
                <w:rFonts w:cstheme="minorHAnsi"/>
                <w:b/>
                <w:sz w:val="20"/>
                <w:szCs w:val="20"/>
              </w:rPr>
            </w:pPr>
            <w:r w:rsidRPr="00160081">
              <w:rPr>
                <w:rFonts w:cstheme="minorHAnsi"/>
                <w:b/>
                <w:bCs/>
                <w:sz w:val="20"/>
                <w:szCs w:val="20"/>
              </w:rPr>
              <w:t>Gestión de Procesos – BPMS</w:t>
            </w:r>
          </w:p>
        </w:tc>
      </w:tr>
      <w:tr w:rsidR="00160081" w:rsidRPr="00160081" w14:paraId="5C518293" w14:textId="77777777" w:rsidTr="00616507">
        <w:trPr>
          <w:tblHeader/>
        </w:trPr>
        <w:tc>
          <w:tcPr>
            <w:tcW w:w="0" w:type="auto"/>
            <w:vAlign w:val="center"/>
          </w:tcPr>
          <w:p w14:paraId="12E85453" w14:textId="77777777" w:rsidR="00160081" w:rsidRPr="00160081" w:rsidRDefault="00160081" w:rsidP="00BD3D91">
            <w:pPr>
              <w:jc w:val="center"/>
              <w:rPr>
                <w:rFonts w:cstheme="minorHAnsi"/>
                <w:sz w:val="20"/>
                <w:szCs w:val="20"/>
              </w:rPr>
            </w:pPr>
            <w:r w:rsidRPr="00160081">
              <w:rPr>
                <w:rFonts w:cstheme="minorHAnsi"/>
                <w:b/>
                <w:sz w:val="20"/>
                <w:szCs w:val="20"/>
              </w:rPr>
              <w:t>Participantes mínimos requeridos</w:t>
            </w:r>
          </w:p>
        </w:tc>
        <w:tc>
          <w:tcPr>
            <w:tcW w:w="0" w:type="auto"/>
            <w:vAlign w:val="center"/>
          </w:tcPr>
          <w:p w14:paraId="75F7B88F" w14:textId="77777777" w:rsidR="00160081" w:rsidRPr="00160081" w:rsidRDefault="00160081" w:rsidP="00BD3D91">
            <w:pPr>
              <w:jc w:val="center"/>
              <w:rPr>
                <w:rFonts w:cstheme="minorHAnsi"/>
                <w:sz w:val="20"/>
                <w:szCs w:val="20"/>
              </w:rPr>
            </w:pPr>
            <w:r w:rsidRPr="00160081">
              <w:rPr>
                <w:rFonts w:cstheme="minorHAnsi"/>
                <w:b/>
                <w:sz w:val="20"/>
                <w:szCs w:val="20"/>
              </w:rPr>
              <w:t>Temas para tratarse</w:t>
            </w:r>
          </w:p>
        </w:tc>
        <w:tc>
          <w:tcPr>
            <w:tcW w:w="6148" w:type="dxa"/>
            <w:vAlign w:val="center"/>
          </w:tcPr>
          <w:p w14:paraId="3B703FEF" w14:textId="77777777" w:rsidR="00160081" w:rsidRPr="00160081" w:rsidRDefault="00160081" w:rsidP="00BD3D91">
            <w:pPr>
              <w:jc w:val="center"/>
              <w:rPr>
                <w:rFonts w:cstheme="minorHAnsi"/>
                <w:sz w:val="20"/>
                <w:szCs w:val="20"/>
              </w:rPr>
            </w:pPr>
            <w:r w:rsidRPr="00160081">
              <w:rPr>
                <w:rFonts w:cstheme="minorHAnsi"/>
                <w:b/>
                <w:sz w:val="20"/>
                <w:szCs w:val="20"/>
              </w:rPr>
              <w:t>Contenido</w:t>
            </w:r>
          </w:p>
        </w:tc>
      </w:tr>
      <w:tr w:rsidR="00160081" w:rsidRPr="00160081" w14:paraId="414E0979" w14:textId="77777777" w:rsidTr="00616507">
        <w:tc>
          <w:tcPr>
            <w:tcW w:w="0" w:type="auto"/>
            <w:vAlign w:val="center"/>
          </w:tcPr>
          <w:p w14:paraId="3E0B1792" w14:textId="77777777" w:rsidR="00160081" w:rsidRPr="00160081" w:rsidRDefault="00160081" w:rsidP="00BD3D91">
            <w:pPr>
              <w:rPr>
                <w:rFonts w:cstheme="minorHAnsi"/>
                <w:sz w:val="20"/>
                <w:szCs w:val="20"/>
              </w:rPr>
            </w:pPr>
            <w:bookmarkStart w:id="119" w:name="OLE_LINK38"/>
            <w:r w:rsidRPr="00160081">
              <w:rPr>
                <w:rFonts w:cstheme="minorHAnsi"/>
                <w:color w:val="000000"/>
                <w:sz w:val="20"/>
                <w:szCs w:val="20"/>
              </w:rPr>
              <w:t>Usuarios Funcionales: Al menos 12</w:t>
            </w:r>
            <w:bookmarkEnd w:id="119"/>
          </w:p>
        </w:tc>
        <w:tc>
          <w:tcPr>
            <w:tcW w:w="0" w:type="auto"/>
            <w:vAlign w:val="center"/>
          </w:tcPr>
          <w:p w14:paraId="4A941188" w14:textId="77777777" w:rsidR="00160081" w:rsidRPr="00160081" w:rsidRDefault="00160081" w:rsidP="00BD3D91">
            <w:pPr>
              <w:rPr>
                <w:rFonts w:cstheme="minorHAnsi"/>
                <w:sz w:val="20"/>
                <w:szCs w:val="20"/>
              </w:rPr>
            </w:pPr>
            <w:r w:rsidRPr="00160081">
              <w:rPr>
                <w:rFonts w:cstheme="minorHAnsi"/>
                <w:color w:val="000000"/>
                <w:sz w:val="20"/>
                <w:szCs w:val="20"/>
              </w:rPr>
              <w:t>Fundamentos y Gobierno de Procesos</w:t>
            </w:r>
          </w:p>
        </w:tc>
        <w:tc>
          <w:tcPr>
            <w:tcW w:w="6148" w:type="dxa"/>
          </w:tcPr>
          <w:p w14:paraId="2D7171EA" w14:textId="77777777" w:rsidR="00160081" w:rsidRPr="00160081" w:rsidRDefault="00160081" w:rsidP="00160081">
            <w:pPr>
              <w:numPr>
                <w:ilvl w:val="0"/>
                <w:numId w:val="124"/>
              </w:numPr>
              <w:spacing w:after="0" w:line="240" w:lineRule="auto"/>
              <w:rPr>
                <w:rFonts w:cstheme="minorHAnsi"/>
                <w:sz w:val="20"/>
                <w:szCs w:val="20"/>
              </w:rPr>
            </w:pPr>
            <w:r w:rsidRPr="00160081">
              <w:rPr>
                <w:rFonts w:cstheme="minorHAnsi"/>
                <w:b/>
                <w:bCs/>
                <w:sz w:val="20"/>
                <w:szCs w:val="20"/>
              </w:rPr>
              <w:t>Marco de Gobierno BPM:</w:t>
            </w:r>
            <w:r w:rsidRPr="00160081">
              <w:rPr>
                <w:rFonts w:cstheme="minorHAnsi"/>
                <w:sz w:val="20"/>
                <w:szCs w:val="20"/>
              </w:rPr>
              <w:t> Definición de roles (Process Owner, Custodio Técnico, Analista) y sus niveles de autoridad.</w:t>
            </w:r>
          </w:p>
          <w:p w14:paraId="742BD9DF" w14:textId="77777777" w:rsidR="00160081" w:rsidRPr="00160081" w:rsidRDefault="00160081" w:rsidP="00160081">
            <w:pPr>
              <w:numPr>
                <w:ilvl w:val="0"/>
                <w:numId w:val="124"/>
              </w:numPr>
              <w:spacing w:after="0" w:line="240" w:lineRule="auto"/>
              <w:rPr>
                <w:rFonts w:cstheme="minorHAnsi"/>
                <w:sz w:val="20"/>
                <w:szCs w:val="20"/>
              </w:rPr>
            </w:pPr>
            <w:r w:rsidRPr="00160081">
              <w:rPr>
                <w:rFonts w:cstheme="minorHAnsi"/>
                <w:b/>
                <w:bCs/>
                <w:sz w:val="20"/>
                <w:szCs w:val="20"/>
              </w:rPr>
              <w:t>Arquitectura Empresarial y Alineación:</w:t>
            </w:r>
            <w:r w:rsidRPr="00160081">
              <w:rPr>
                <w:rFonts w:cstheme="minorHAnsi"/>
                <w:sz w:val="20"/>
                <w:szCs w:val="20"/>
              </w:rPr>
              <w:t> Cómo priorizar qué procesos van al BPMS según el impacto estratégico.</w:t>
            </w:r>
          </w:p>
          <w:p w14:paraId="5152453C" w14:textId="77777777" w:rsidR="00160081" w:rsidRPr="00160081" w:rsidRDefault="00160081" w:rsidP="00160081">
            <w:pPr>
              <w:numPr>
                <w:ilvl w:val="0"/>
                <w:numId w:val="124"/>
              </w:numPr>
              <w:spacing w:after="0" w:line="240" w:lineRule="auto"/>
              <w:rPr>
                <w:rFonts w:cstheme="minorHAnsi"/>
                <w:sz w:val="20"/>
                <w:szCs w:val="20"/>
              </w:rPr>
            </w:pPr>
            <w:r w:rsidRPr="00160081">
              <w:rPr>
                <w:rFonts w:cstheme="minorHAnsi"/>
                <w:b/>
                <w:bCs/>
                <w:sz w:val="20"/>
                <w:szCs w:val="20"/>
              </w:rPr>
              <w:t>Políticas de Estandarización:</w:t>
            </w:r>
            <w:r w:rsidRPr="00160081">
              <w:rPr>
                <w:rFonts w:cstheme="minorHAnsi"/>
                <w:sz w:val="20"/>
                <w:szCs w:val="20"/>
              </w:rPr>
              <w:t> Definición de lineamientos de diseño, nomenclatura y reglas de negocio para asegurar la coherencia en toda la organización.</w:t>
            </w:r>
          </w:p>
          <w:p w14:paraId="5C36E723" w14:textId="77777777" w:rsidR="00160081" w:rsidRPr="00160081" w:rsidRDefault="00160081" w:rsidP="00160081">
            <w:pPr>
              <w:numPr>
                <w:ilvl w:val="0"/>
                <w:numId w:val="124"/>
              </w:numPr>
              <w:spacing w:after="0" w:line="240" w:lineRule="auto"/>
              <w:rPr>
                <w:rFonts w:cstheme="minorHAnsi"/>
                <w:sz w:val="20"/>
                <w:szCs w:val="20"/>
              </w:rPr>
            </w:pPr>
            <w:r w:rsidRPr="00160081">
              <w:rPr>
                <w:rFonts w:cstheme="minorHAnsi"/>
                <w:b/>
                <w:bCs/>
                <w:sz w:val="20"/>
                <w:szCs w:val="20"/>
              </w:rPr>
              <w:t>Gestión del Cambio Organizacional:</w:t>
            </w:r>
            <w:r w:rsidRPr="00160081">
              <w:rPr>
                <w:rFonts w:cstheme="minorHAnsi"/>
                <w:sz w:val="20"/>
                <w:szCs w:val="20"/>
              </w:rPr>
              <w:t> Estrategias para la adopción de la herramienta por parte de los usuarios.</w:t>
            </w:r>
          </w:p>
        </w:tc>
      </w:tr>
      <w:tr w:rsidR="00160081" w:rsidRPr="00160081" w14:paraId="7745A6FA" w14:textId="77777777" w:rsidTr="00616507">
        <w:tc>
          <w:tcPr>
            <w:tcW w:w="0" w:type="auto"/>
            <w:vAlign w:val="center"/>
          </w:tcPr>
          <w:p w14:paraId="69CE460A" w14:textId="77777777" w:rsidR="00160081" w:rsidRPr="00160081" w:rsidRDefault="00160081" w:rsidP="00BD3D91">
            <w:pPr>
              <w:rPr>
                <w:rFonts w:cstheme="minorHAnsi"/>
                <w:sz w:val="20"/>
                <w:szCs w:val="20"/>
              </w:rPr>
            </w:pPr>
            <w:bookmarkStart w:id="120" w:name="OLE_LINK40"/>
            <w:r w:rsidRPr="00160081">
              <w:rPr>
                <w:rFonts w:cstheme="minorHAnsi"/>
                <w:color w:val="000000"/>
                <w:sz w:val="20"/>
                <w:szCs w:val="20"/>
              </w:rPr>
              <w:t>Usuarios Funcionales: Al menos 12</w:t>
            </w:r>
            <w:bookmarkEnd w:id="120"/>
          </w:p>
        </w:tc>
        <w:tc>
          <w:tcPr>
            <w:tcW w:w="0" w:type="auto"/>
            <w:vAlign w:val="center"/>
          </w:tcPr>
          <w:p w14:paraId="2961DABB" w14:textId="77777777" w:rsidR="00160081" w:rsidRPr="00160081" w:rsidRDefault="00160081" w:rsidP="00BD3D91">
            <w:pPr>
              <w:rPr>
                <w:rFonts w:cstheme="minorHAnsi"/>
                <w:sz w:val="20"/>
                <w:szCs w:val="20"/>
              </w:rPr>
            </w:pPr>
            <w:r w:rsidRPr="00160081">
              <w:rPr>
                <w:rFonts w:cstheme="minorHAnsi"/>
                <w:color w:val="000000"/>
                <w:sz w:val="20"/>
                <w:szCs w:val="20"/>
              </w:rPr>
              <w:t>Diseño, Modelado y Experiencia de Usuario</w:t>
            </w:r>
          </w:p>
        </w:tc>
        <w:tc>
          <w:tcPr>
            <w:tcW w:w="6148" w:type="dxa"/>
          </w:tcPr>
          <w:p w14:paraId="2A10FD65" w14:textId="77777777" w:rsidR="00160081" w:rsidRPr="00160081" w:rsidRDefault="00160081" w:rsidP="00160081">
            <w:pPr>
              <w:numPr>
                <w:ilvl w:val="0"/>
                <w:numId w:val="124"/>
              </w:numPr>
              <w:spacing w:after="0" w:line="240" w:lineRule="auto"/>
              <w:ind w:left="1440" w:hanging="1080"/>
              <w:rPr>
                <w:rFonts w:cstheme="minorHAnsi"/>
                <w:b/>
                <w:bCs/>
                <w:sz w:val="20"/>
                <w:szCs w:val="20"/>
              </w:rPr>
            </w:pPr>
            <w:r w:rsidRPr="00160081">
              <w:rPr>
                <w:rFonts w:cstheme="minorHAnsi"/>
                <w:b/>
                <w:bCs/>
                <w:sz w:val="20"/>
                <w:szCs w:val="20"/>
              </w:rPr>
              <w:t>Modelado Técnico BPMN 2.0: Diagramación de flujos ejecutables, eventos de error, señales y subprocesos.</w:t>
            </w:r>
          </w:p>
          <w:p w14:paraId="68D5CDC7" w14:textId="77777777" w:rsidR="00160081" w:rsidRPr="00160081" w:rsidRDefault="00160081" w:rsidP="00160081">
            <w:pPr>
              <w:numPr>
                <w:ilvl w:val="0"/>
                <w:numId w:val="124"/>
              </w:numPr>
              <w:spacing w:after="0" w:line="240" w:lineRule="auto"/>
              <w:rPr>
                <w:rFonts w:cstheme="minorHAnsi"/>
                <w:b/>
                <w:bCs/>
                <w:sz w:val="20"/>
                <w:szCs w:val="20"/>
              </w:rPr>
            </w:pPr>
            <w:r w:rsidRPr="00160081">
              <w:rPr>
                <w:rFonts w:cstheme="minorHAnsi"/>
                <w:b/>
                <w:bCs/>
                <w:sz w:val="20"/>
                <w:szCs w:val="20"/>
              </w:rPr>
              <w:t>Lógica de Decisión con DMN: Modelado de tablas de decisión para desacoplar reglas complejas del flujo visual.</w:t>
            </w:r>
          </w:p>
          <w:p w14:paraId="6D442D12" w14:textId="77777777" w:rsidR="00160081" w:rsidRPr="00160081" w:rsidRDefault="00160081" w:rsidP="00160081">
            <w:pPr>
              <w:numPr>
                <w:ilvl w:val="0"/>
                <w:numId w:val="124"/>
              </w:numPr>
              <w:spacing w:after="0" w:line="240" w:lineRule="auto"/>
              <w:rPr>
                <w:rFonts w:cstheme="minorHAnsi"/>
                <w:b/>
                <w:bCs/>
                <w:sz w:val="20"/>
                <w:szCs w:val="20"/>
              </w:rPr>
            </w:pPr>
            <w:r w:rsidRPr="00160081">
              <w:rPr>
                <w:rFonts w:cstheme="minorHAnsi"/>
                <w:b/>
                <w:bCs/>
                <w:sz w:val="20"/>
                <w:szCs w:val="20"/>
              </w:rPr>
              <w:t>Diseño UX/UI Centrado en el Proceso: Creación de formularios dinámicos, validaciones y diseño responsivo para mejorar la adopción del usuario final.</w:t>
            </w:r>
          </w:p>
          <w:p w14:paraId="6B820D50" w14:textId="77777777" w:rsidR="00160081" w:rsidRPr="00160081" w:rsidRDefault="00160081" w:rsidP="00BD3D91">
            <w:pPr>
              <w:rPr>
                <w:rFonts w:cstheme="minorHAnsi"/>
                <w:sz w:val="20"/>
                <w:szCs w:val="20"/>
              </w:rPr>
            </w:pPr>
          </w:p>
        </w:tc>
      </w:tr>
      <w:tr w:rsidR="00160081" w:rsidRPr="00160081" w14:paraId="1EE45F59" w14:textId="77777777" w:rsidTr="00616507">
        <w:tc>
          <w:tcPr>
            <w:tcW w:w="0" w:type="auto"/>
            <w:vAlign w:val="center"/>
          </w:tcPr>
          <w:p w14:paraId="4623BAD5" w14:textId="77777777" w:rsidR="00160081" w:rsidRPr="00160081" w:rsidRDefault="00160081" w:rsidP="00BD3D91">
            <w:pPr>
              <w:rPr>
                <w:rFonts w:cstheme="minorHAnsi"/>
                <w:sz w:val="20"/>
                <w:szCs w:val="20"/>
              </w:rPr>
            </w:pPr>
            <w:bookmarkStart w:id="121" w:name="OLE_LINK92"/>
            <w:r w:rsidRPr="00160081">
              <w:rPr>
                <w:rFonts w:cstheme="minorHAnsi"/>
                <w:color w:val="000000"/>
                <w:sz w:val="20"/>
                <w:szCs w:val="20"/>
              </w:rPr>
              <w:t>Usuarios Técnicos: Al menos 6</w:t>
            </w:r>
          </w:p>
        </w:tc>
        <w:tc>
          <w:tcPr>
            <w:tcW w:w="0" w:type="auto"/>
            <w:vAlign w:val="center"/>
          </w:tcPr>
          <w:p w14:paraId="63C35A83" w14:textId="77777777" w:rsidR="00160081" w:rsidRPr="00160081" w:rsidRDefault="00160081" w:rsidP="00BD3D91">
            <w:pPr>
              <w:rPr>
                <w:rFonts w:cstheme="minorHAnsi"/>
                <w:sz w:val="20"/>
                <w:szCs w:val="20"/>
              </w:rPr>
            </w:pPr>
            <w:r w:rsidRPr="00160081">
              <w:rPr>
                <w:rFonts w:cstheme="minorHAnsi"/>
                <w:sz w:val="20"/>
                <w:szCs w:val="20"/>
              </w:rPr>
              <w:t>Arquitectura Técnica e Integración</w:t>
            </w:r>
          </w:p>
        </w:tc>
        <w:tc>
          <w:tcPr>
            <w:tcW w:w="6148" w:type="dxa"/>
          </w:tcPr>
          <w:p w14:paraId="58744B53" w14:textId="77777777" w:rsidR="00160081" w:rsidRPr="00160081" w:rsidRDefault="00160081" w:rsidP="00160081">
            <w:pPr>
              <w:numPr>
                <w:ilvl w:val="0"/>
                <w:numId w:val="126"/>
              </w:numPr>
              <w:spacing w:after="0" w:line="240" w:lineRule="auto"/>
              <w:rPr>
                <w:rFonts w:cstheme="minorHAnsi"/>
                <w:sz w:val="20"/>
                <w:szCs w:val="20"/>
              </w:rPr>
            </w:pPr>
            <w:r w:rsidRPr="00160081">
              <w:rPr>
                <w:rFonts w:cstheme="minorHAnsi"/>
                <w:b/>
                <w:bCs/>
                <w:sz w:val="20"/>
                <w:szCs w:val="20"/>
              </w:rPr>
              <w:t>Modelado de Datos de Negocio:</w:t>
            </w:r>
            <w:r w:rsidRPr="00160081">
              <w:rPr>
                <w:rFonts w:cstheme="minorHAnsi"/>
                <w:sz w:val="20"/>
                <w:szCs w:val="20"/>
              </w:rPr>
              <w:t> Estructuración de entidades, relaciones y persistencia de información.</w:t>
            </w:r>
          </w:p>
          <w:p w14:paraId="007A9309" w14:textId="77777777" w:rsidR="00160081" w:rsidRPr="00160081" w:rsidRDefault="00160081" w:rsidP="00160081">
            <w:pPr>
              <w:numPr>
                <w:ilvl w:val="0"/>
                <w:numId w:val="126"/>
              </w:numPr>
              <w:spacing w:after="0" w:line="240" w:lineRule="auto"/>
              <w:rPr>
                <w:rFonts w:cstheme="minorHAnsi"/>
                <w:sz w:val="20"/>
                <w:szCs w:val="20"/>
              </w:rPr>
            </w:pPr>
            <w:r w:rsidRPr="00160081">
              <w:rPr>
                <w:rFonts w:cstheme="minorHAnsi"/>
                <w:b/>
                <w:bCs/>
                <w:sz w:val="20"/>
                <w:szCs w:val="20"/>
              </w:rPr>
              <w:t>Ecosistema de Integración (</w:t>
            </w:r>
            <w:proofErr w:type="spellStart"/>
            <w:r w:rsidRPr="00160081">
              <w:rPr>
                <w:rFonts w:cstheme="minorHAnsi"/>
                <w:b/>
                <w:bCs/>
                <w:sz w:val="20"/>
                <w:szCs w:val="20"/>
              </w:rPr>
              <w:t>APIs</w:t>
            </w:r>
            <w:proofErr w:type="spellEnd"/>
            <w:r w:rsidRPr="00160081">
              <w:rPr>
                <w:rFonts w:cstheme="minorHAnsi"/>
                <w:b/>
                <w:bCs/>
                <w:sz w:val="20"/>
                <w:szCs w:val="20"/>
              </w:rPr>
              <w:t>/SOA):</w:t>
            </w:r>
            <w:r w:rsidRPr="00160081">
              <w:rPr>
                <w:rFonts w:cstheme="minorHAnsi"/>
                <w:sz w:val="20"/>
                <w:szCs w:val="20"/>
              </w:rPr>
              <w:t xml:space="preserve"> Conexión vía REST/SOAP con sistemas </w:t>
            </w:r>
            <w:proofErr w:type="spellStart"/>
            <w:r w:rsidRPr="00160081">
              <w:rPr>
                <w:rFonts w:cstheme="minorHAnsi"/>
                <w:sz w:val="20"/>
                <w:szCs w:val="20"/>
              </w:rPr>
              <w:t>core</w:t>
            </w:r>
            <w:proofErr w:type="spellEnd"/>
            <w:r w:rsidRPr="00160081">
              <w:rPr>
                <w:rFonts w:cstheme="minorHAnsi"/>
                <w:sz w:val="20"/>
                <w:szCs w:val="20"/>
              </w:rPr>
              <w:t xml:space="preserve"> (ERP, CRM) y bases de datos externas.</w:t>
            </w:r>
          </w:p>
          <w:p w14:paraId="7967789D" w14:textId="77777777" w:rsidR="00160081" w:rsidRPr="00160081" w:rsidRDefault="00160081" w:rsidP="00160081">
            <w:pPr>
              <w:numPr>
                <w:ilvl w:val="0"/>
                <w:numId w:val="126"/>
              </w:numPr>
              <w:spacing w:after="0" w:line="240" w:lineRule="auto"/>
              <w:rPr>
                <w:rFonts w:cstheme="minorHAnsi"/>
                <w:sz w:val="20"/>
                <w:szCs w:val="20"/>
              </w:rPr>
            </w:pPr>
            <w:r w:rsidRPr="00160081">
              <w:rPr>
                <w:rFonts w:cstheme="minorHAnsi"/>
                <w:b/>
                <w:bCs/>
                <w:sz w:val="20"/>
                <w:szCs w:val="20"/>
              </w:rPr>
              <w:t>Scripting y Extensibilidad:</w:t>
            </w:r>
            <w:r w:rsidRPr="00160081">
              <w:rPr>
                <w:rFonts w:cstheme="minorHAnsi"/>
                <w:sz w:val="20"/>
                <w:szCs w:val="20"/>
              </w:rPr>
              <w:t> Desarrollo de lógica personalizada y funciones avanzadas dentro de la suite.</w:t>
            </w:r>
          </w:p>
          <w:p w14:paraId="118B0FA8" w14:textId="77777777" w:rsidR="00160081" w:rsidRPr="00160081" w:rsidRDefault="00160081" w:rsidP="00160081">
            <w:pPr>
              <w:numPr>
                <w:ilvl w:val="0"/>
                <w:numId w:val="126"/>
              </w:numPr>
              <w:spacing w:after="0" w:line="240" w:lineRule="auto"/>
              <w:rPr>
                <w:rFonts w:cstheme="minorHAnsi"/>
                <w:sz w:val="20"/>
                <w:szCs w:val="20"/>
              </w:rPr>
            </w:pPr>
            <w:r w:rsidRPr="00160081">
              <w:rPr>
                <w:rFonts w:cstheme="minorHAnsi"/>
                <w:b/>
                <w:bCs/>
                <w:sz w:val="20"/>
                <w:szCs w:val="20"/>
              </w:rPr>
              <w:t>Automatización de Salidas:</w:t>
            </w:r>
            <w:r w:rsidRPr="00160081">
              <w:rPr>
                <w:rFonts w:cstheme="minorHAnsi"/>
                <w:sz w:val="20"/>
                <w:szCs w:val="20"/>
              </w:rPr>
              <w:t> Motores de plantillas para documentos legales y gestión multicanal de notificaciones.</w:t>
            </w:r>
          </w:p>
        </w:tc>
      </w:tr>
      <w:bookmarkEnd w:id="121"/>
      <w:tr w:rsidR="00160081" w:rsidRPr="00160081" w14:paraId="25516859" w14:textId="77777777" w:rsidTr="00616507">
        <w:tc>
          <w:tcPr>
            <w:tcW w:w="0" w:type="auto"/>
            <w:vAlign w:val="center"/>
          </w:tcPr>
          <w:p w14:paraId="3A2A9F77" w14:textId="77777777" w:rsidR="00160081" w:rsidRPr="00160081" w:rsidRDefault="00160081" w:rsidP="00BD3D91">
            <w:pPr>
              <w:rPr>
                <w:rFonts w:cstheme="minorHAnsi"/>
                <w:sz w:val="20"/>
                <w:szCs w:val="20"/>
              </w:rPr>
            </w:pPr>
            <w:r w:rsidRPr="00160081">
              <w:rPr>
                <w:rFonts w:cstheme="minorHAnsi"/>
                <w:color w:val="000000"/>
                <w:sz w:val="20"/>
                <w:szCs w:val="20"/>
              </w:rPr>
              <w:t>Usuarios Técnicos: Al menos 6</w:t>
            </w:r>
          </w:p>
        </w:tc>
        <w:tc>
          <w:tcPr>
            <w:tcW w:w="0" w:type="auto"/>
            <w:vAlign w:val="center"/>
          </w:tcPr>
          <w:p w14:paraId="103472AC" w14:textId="77777777" w:rsidR="00160081" w:rsidRPr="00160081" w:rsidRDefault="00160081" w:rsidP="00BD3D91">
            <w:pPr>
              <w:rPr>
                <w:rFonts w:cstheme="minorHAnsi"/>
                <w:sz w:val="20"/>
                <w:szCs w:val="20"/>
              </w:rPr>
            </w:pPr>
            <w:r w:rsidRPr="00160081">
              <w:rPr>
                <w:rFonts w:cstheme="minorHAnsi"/>
                <w:sz w:val="20"/>
                <w:szCs w:val="20"/>
              </w:rPr>
              <w:t>Ciclo de Vida y Operaciones TI</w:t>
            </w:r>
          </w:p>
        </w:tc>
        <w:tc>
          <w:tcPr>
            <w:tcW w:w="6148" w:type="dxa"/>
          </w:tcPr>
          <w:p w14:paraId="471FED2D" w14:textId="77777777" w:rsidR="00160081" w:rsidRPr="00160081" w:rsidRDefault="00160081" w:rsidP="00160081">
            <w:pPr>
              <w:numPr>
                <w:ilvl w:val="0"/>
                <w:numId w:val="127"/>
              </w:numPr>
              <w:spacing w:after="0" w:line="240" w:lineRule="auto"/>
              <w:rPr>
                <w:rFonts w:cstheme="minorHAnsi"/>
                <w:sz w:val="20"/>
                <w:szCs w:val="20"/>
              </w:rPr>
            </w:pPr>
            <w:r w:rsidRPr="00160081">
              <w:rPr>
                <w:rFonts w:cstheme="minorHAnsi"/>
                <w:b/>
                <w:bCs/>
                <w:sz w:val="20"/>
                <w:szCs w:val="20"/>
              </w:rPr>
              <w:t>DevOps para BPMS:</w:t>
            </w:r>
            <w:r w:rsidRPr="00160081">
              <w:rPr>
                <w:rFonts w:cstheme="minorHAnsi"/>
                <w:sz w:val="20"/>
                <w:szCs w:val="20"/>
              </w:rPr>
              <w:t xml:space="preserve"> Protocolos de </w:t>
            </w:r>
            <w:proofErr w:type="spellStart"/>
            <w:r w:rsidRPr="00160081">
              <w:rPr>
                <w:rFonts w:cstheme="minorHAnsi"/>
                <w:sz w:val="20"/>
                <w:szCs w:val="20"/>
              </w:rPr>
              <w:t>versionamiento</w:t>
            </w:r>
            <w:proofErr w:type="spellEnd"/>
            <w:r w:rsidRPr="00160081">
              <w:rPr>
                <w:rFonts w:cstheme="minorHAnsi"/>
                <w:sz w:val="20"/>
                <w:szCs w:val="20"/>
              </w:rPr>
              <w:t>, exportación/importación de paquetes y gestión de ambientes (Dev/Test/</w:t>
            </w:r>
            <w:proofErr w:type="spellStart"/>
            <w:r w:rsidRPr="00160081">
              <w:rPr>
                <w:rFonts w:cstheme="minorHAnsi"/>
                <w:sz w:val="20"/>
                <w:szCs w:val="20"/>
              </w:rPr>
              <w:t>Prod</w:t>
            </w:r>
            <w:proofErr w:type="spellEnd"/>
            <w:r w:rsidRPr="00160081">
              <w:rPr>
                <w:rFonts w:cstheme="minorHAnsi"/>
                <w:sz w:val="20"/>
                <w:szCs w:val="20"/>
              </w:rPr>
              <w:t>).</w:t>
            </w:r>
          </w:p>
          <w:p w14:paraId="2EDAB622" w14:textId="77777777" w:rsidR="00160081" w:rsidRPr="00160081" w:rsidRDefault="00160081" w:rsidP="00160081">
            <w:pPr>
              <w:numPr>
                <w:ilvl w:val="0"/>
                <w:numId w:val="127"/>
              </w:numPr>
              <w:spacing w:after="0" w:line="240" w:lineRule="auto"/>
              <w:rPr>
                <w:rFonts w:cstheme="minorHAnsi"/>
                <w:sz w:val="20"/>
                <w:szCs w:val="20"/>
              </w:rPr>
            </w:pPr>
            <w:r w:rsidRPr="00160081">
              <w:rPr>
                <w:rFonts w:cstheme="minorHAnsi"/>
                <w:b/>
                <w:bCs/>
                <w:sz w:val="20"/>
                <w:szCs w:val="20"/>
              </w:rPr>
              <w:t>Administración y Seguridad:</w:t>
            </w:r>
            <w:r w:rsidRPr="00160081">
              <w:rPr>
                <w:rFonts w:cstheme="minorHAnsi"/>
                <w:sz w:val="20"/>
                <w:szCs w:val="20"/>
              </w:rPr>
              <w:t xml:space="preserve"> Control de acceso, perfiles de usuario, </w:t>
            </w:r>
            <w:proofErr w:type="gramStart"/>
            <w:r w:rsidRPr="00160081">
              <w:rPr>
                <w:rFonts w:cstheme="minorHAnsi"/>
                <w:sz w:val="20"/>
                <w:szCs w:val="20"/>
              </w:rPr>
              <w:t>Single</w:t>
            </w:r>
            <w:proofErr w:type="gramEnd"/>
            <w:r w:rsidRPr="00160081">
              <w:rPr>
                <w:rFonts w:cstheme="minorHAnsi"/>
                <w:sz w:val="20"/>
                <w:szCs w:val="20"/>
              </w:rPr>
              <w:t xml:space="preserve"> </w:t>
            </w:r>
            <w:proofErr w:type="spellStart"/>
            <w:r w:rsidRPr="00160081">
              <w:rPr>
                <w:rFonts w:cstheme="minorHAnsi"/>
                <w:sz w:val="20"/>
                <w:szCs w:val="20"/>
              </w:rPr>
              <w:t>Sign-On</w:t>
            </w:r>
            <w:proofErr w:type="spellEnd"/>
            <w:r w:rsidRPr="00160081">
              <w:rPr>
                <w:rFonts w:cstheme="minorHAnsi"/>
                <w:sz w:val="20"/>
                <w:szCs w:val="20"/>
              </w:rPr>
              <w:t xml:space="preserve"> (SSO) y auditoría de acciones.</w:t>
            </w:r>
          </w:p>
          <w:p w14:paraId="178A0794" w14:textId="77777777" w:rsidR="00160081" w:rsidRPr="00160081" w:rsidRDefault="00160081" w:rsidP="00160081">
            <w:pPr>
              <w:numPr>
                <w:ilvl w:val="0"/>
                <w:numId w:val="127"/>
              </w:numPr>
              <w:spacing w:after="0" w:line="240" w:lineRule="auto"/>
              <w:rPr>
                <w:rFonts w:cstheme="minorHAnsi"/>
                <w:sz w:val="20"/>
                <w:szCs w:val="20"/>
              </w:rPr>
            </w:pPr>
            <w:r w:rsidRPr="00160081">
              <w:rPr>
                <w:rFonts w:cstheme="minorHAnsi"/>
                <w:b/>
                <w:bCs/>
                <w:sz w:val="20"/>
                <w:szCs w:val="20"/>
              </w:rPr>
              <w:t xml:space="preserve">Mantenimiento y </w:t>
            </w:r>
            <w:proofErr w:type="spellStart"/>
            <w:r w:rsidRPr="00160081">
              <w:rPr>
                <w:rFonts w:cstheme="minorHAnsi"/>
                <w:b/>
                <w:bCs/>
                <w:sz w:val="20"/>
                <w:szCs w:val="20"/>
              </w:rPr>
              <w:t>Troubleshooting</w:t>
            </w:r>
            <w:proofErr w:type="spellEnd"/>
            <w:r w:rsidRPr="00160081">
              <w:rPr>
                <w:rFonts w:cstheme="minorHAnsi"/>
                <w:b/>
                <w:bCs/>
                <w:sz w:val="20"/>
                <w:szCs w:val="20"/>
              </w:rPr>
              <w:t>:</w:t>
            </w:r>
            <w:r w:rsidRPr="00160081">
              <w:rPr>
                <w:rFonts w:cstheme="minorHAnsi"/>
                <w:sz w:val="20"/>
                <w:szCs w:val="20"/>
              </w:rPr>
              <w:t> Diagnóstico de logs, manejo de excepciones técnicas y recuperación de instancias fallidas.</w:t>
            </w:r>
          </w:p>
        </w:tc>
      </w:tr>
      <w:tr w:rsidR="00160081" w:rsidRPr="00160081" w14:paraId="1CB7F26C" w14:textId="77777777" w:rsidTr="00616507">
        <w:tc>
          <w:tcPr>
            <w:tcW w:w="0" w:type="auto"/>
            <w:vAlign w:val="center"/>
          </w:tcPr>
          <w:p w14:paraId="3F1CDEEC" w14:textId="77777777" w:rsidR="00160081" w:rsidRPr="00160081" w:rsidRDefault="00160081" w:rsidP="00BD3D91">
            <w:pPr>
              <w:rPr>
                <w:rFonts w:cstheme="minorHAnsi"/>
                <w:sz w:val="20"/>
                <w:szCs w:val="20"/>
              </w:rPr>
            </w:pPr>
            <w:r w:rsidRPr="00160081">
              <w:rPr>
                <w:rFonts w:cstheme="minorHAnsi"/>
                <w:color w:val="000000"/>
                <w:sz w:val="20"/>
                <w:szCs w:val="20"/>
              </w:rPr>
              <w:t>Usuarios Funcionales: Al menos 12</w:t>
            </w:r>
          </w:p>
        </w:tc>
        <w:tc>
          <w:tcPr>
            <w:tcW w:w="0" w:type="auto"/>
            <w:vAlign w:val="center"/>
          </w:tcPr>
          <w:p w14:paraId="51A0CD3D" w14:textId="77777777" w:rsidR="00160081" w:rsidRPr="00160081" w:rsidRDefault="00160081" w:rsidP="00BD3D91">
            <w:pPr>
              <w:rPr>
                <w:rFonts w:cstheme="minorHAnsi"/>
                <w:sz w:val="20"/>
                <w:szCs w:val="20"/>
              </w:rPr>
            </w:pPr>
            <w:r w:rsidRPr="00160081">
              <w:rPr>
                <w:rFonts w:cstheme="minorHAnsi"/>
                <w:sz w:val="20"/>
                <w:szCs w:val="20"/>
              </w:rPr>
              <w:t>Inteligencia de Procesos y Mejora Continua</w:t>
            </w:r>
          </w:p>
        </w:tc>
        <w:tc>
          <w:tcPr>
            <w:tcW w:w="6148" w:type="dxa"/>
          </w:tcPr>
          <w:p w14:paraId="20EE7E45" w14:textId="77777777" w:rsidR="00160081" w:rsidRPr="00160081" w:rsidRDefault="00160081" w:rsidP="00160081">
            <w:pPr>
              <w:numPr>
                <w:ilvl w:val="0"/>
                <w:numId w:val="128"/>
              </w:numPr>
              <w:spacing w:after="0" w:line="240" w:lineRule="auto"/>
              <w:rPr>
                <w:rFonts w:cstheme="minorHAnsi"/>
                <w:sz w:val="20"/>
                <w:szCs w:val="20"/>
              </w:rPr>
            </w:pPr>
            <w:r w:rsidRPr="00160081">
              <w:rPr>
                <w:rFonts w:cstheme="minorHAnsi"/>
                <w:b/>
                <w:bCs/>
                <w:sz w:val="20"/>
                <w:szCs w:val="20"/>
              </w:rPr>
              <w:t>BAM y Analítica en Tiempo Real:</w:t>
            </w:r>
            <w:r w:rsidRPr="00160081">
              <w:rPr>
                <w:rFonts w:cstheme="minorHAnsi"/>
                <w:sz w:val="20"/>
                <w:szCs w:val="20"/>
              </w:rPr>
              <w:t xml:space="preserve"> Configuración de </w:t>
            </w:r>
            <w:proofErr w:type="spellStart"/>
            <w:r w:rsidRPr="00160081">
              <w:rPr>
                <w:rFonts w:cstheme="minorHAnsi"/>
                <w:sz w:val="20"/>
                <w:szCs w:val="20"/>
              </w:rPr>
              <w:t>dashboards</w:t>
            </w:r>
            <w:proofErr w:type="spellEnd"/>
            <w:r w:rsidRPr="00160081">
              <w:rPr>
                <w:rFonts w:cstheme="minorHAnsi"/>
                <w:sz w:val="20"/>
                <w:szCs w:val="20"/>
              </w:rPr>
              <w:t xml:space="preserve"> operativos para la toma de decisiones inmediata.</w:t>
            </w:r>
          </w:p>
          <w:p w14:paraId="786EE020" w14:textId="77777777" w:rsidR="00160081" w:rsidRPr="00160081" w:rsidRDefault="00160081" w:rsidP="00160081">
            <w:pPr>
              <w:numPr>
                <w:ilvl w:val="0"/>
                <w:numId w:val="128"/>
              </w:numPr>
              <w:spacing w:after="0" w:line="240" w:lineRule="auto"/>
              <w:rPr>
                <w:rFonts w:cstheme="minorHAnsi"/>
                <w:sz w:val="20"/>
                <w:szCs w:val="20"/>
              </w:rPr>
            </w:pPr>
            <w:r w:rsidRPr="00160081">
              <w:rPr>
                <w:rFonts w:cstheme="minorHAnsi"/>
                <w:b/>
                <w:bCs/>
                <w:sz w:val="20"/>
                <w:szCs w:val="20"/>
              </w:rPr>
              <w:t>Minería de Procesos y Optimización:</w:t>
            </w:r>
            <w:r w:rsidRPr="00160081">
              <w:rPr>
                <w:rFonts w:cstheme="minorHAnsi"/>
                <w:sz w:val="20"/>
                <w:szCs w:val="20"/>
              </w:rPr>
              <w:t> Uso de los datos históricos para identificar cuellos de botella y proponer versiones mejoradas del proceso.</w:t>
            </w:r>
          </w:p>
          <w:p w14:paraId="50991B44" w14:textId="77777777" w:rsidR="00160081" w:rsidRPr="00160081" w:rsidRDefault="00160081" w:rsidP="00160081">
            <w:pPr>
              <w:numPr>
                <w:ilvl w:val="0"/>
                <w:numId w:val="128"/>
              </w:numPr>
              <w:spacing w:after="0" w:line="240" w:lineRule="auto"/>
              <w:rPr>
                <w:rFonts w:cstheme="minorHAnsi"/>
                <w:sz w:val="20"/>
                <w:szCs w:val="20"/>
              </w:rPr>
            </w:pPr>
            <w:r w:rsidRPr="00160081">
              <w:rPr>
                <w:rFonts w:cstheme="minorHAnsi"/>
                <w:b/>
                <w:bCs/>
                <w:sz w:val="20"/>
                <w:szCs w:val="20"/>
              </w:rPr>
              <w:t xml:space="preserve">Gestión de </w:t>
            </w:r>
            <w:proofErr w:type="spellStart"/>
            <w:r w:rsidRPr="00160081">
              <w:rPr>
                <w:rFonts w:cstheme="minorHAnsi"/>
                <w:b/>
                <w:bCs/>
                <w:sz w:val="20"/>
                <w:szCs w:val="20"/>
              </w:rPr>
              <w:t>SLAs</w:t>
            </w:r>
            <w:proofErr w:type="spellEnd"/>
            <w:r w:rsidRPr="00160081">
              <w:rPr>
                <w:rFonts w:cstheme="minorHAnsi"/>
                <w:b/>
                <w:bCs/>
                <w:sz w:val="20"/>
                <w:szCs w:val="20"/>
              </w:rPr>
              <w:t xml:space="preserve"> y Escalamientos:</w:t>
            </w:r>
            <w:r w:rsidRPr="00160081">
              <w:rPr>
                <w:rFonts w:cstheme="minorHAnsi"/>
                <w:sz w:val="20"/>
                <w:szCs w:val="20"/>
              </w:rPr>
              <w:t> Configuración de alarmas de negocio para asegurar el cumplimiento de promesas de servicio.</w:t>
            </w:r>
          </w:p>
        </w:tc>
      </w:tr>
    </w:tbl>
    <w:p w14:paraId="57DBD03B" w14:textId="77777777" w:rsidR="00160081" w:rsidRDefault="00160081" w:rsidP="00160081">
      <w:pPr>
        <w:pStyle w:val="Prrafodelista"/>
        <w:spacing w:line="276" w:lineRule="auto"/>
        <w:ind w:left="0"/>
        <w:rPr>
          <w:rFonts w:cstheme="minorHAnsi"/>
          <w:sz w:val="20"/>
          <w:szCs w:val="20"/>
        </w:rPr>
      </w:pPr>
    </w:p>
    <w:p w14:paraId="20387557" w14:textId="77777777" w:rsidR="00616507" w:rsidRDefault="00616507" w:rsidP="00160081">
      <w:pPr>
        <w:pStyle w:val="Prrafodelista"/>
        <w:spacing w:line="276" w:lineRule="auto"/>
        <w:ind w:left="0"/>
        <w:rPr>
          <w:rFonts w:cstheme="minorHAnsi"/>
          <w:sz w:val="20"/>
          <w:szCs w:val="20"/>
        </w:rPr>
      </w:pPr>
    </w:p>
    <w:p w14:paraId="4BDD0F94" w14:textId="77777777" w:rsidR="00616507" w:rsidRPr="00160081" w:rsidRDefault="00616507" w:rsidP="00160081">
      <w:pPr>
        <w:pStyle w:val="Prrafodelista"/>
        <w:spacing w:line="276" w:lineRule="auto"/>
        <w:ind w:left="0"/>
        <w:rPr>
          <w:rFonts w:cstheme="minorHAnsi"/>
          <w:sz w:val="20"/>
          <w:szCs w:val="20"/>
        </w:rPr>
      </w:pPr>
    </w:p>
    <w:p w14:paraId="26D04DB6" w14:textId="77777777" w:rsidR="00160081" w:rsidRPr="00160081" w:rsidRDefault="00160081" w:rsidP="00160081">
      <w:pPr>
        <w:pStyle w:val="Prrafodelista"/>
        <w:spacing w:line="276" w:lineRule="auto"/>
        <w:ind w:left="0"/>
        <w:rPr>
          <w:rFonts w:cstheme="minorHAnsi"/>
          <w:sz w:val="20"/>
          <w:szCs w:val="20"/>
        </w:rPr>
      </w:pPr>
    </w:p>
    <w:p w14:paraId="204216A3"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22" w:name="_Toc217326232"/>
      <w:r w:rsidRPr="00160081">
        <w:rPr>
          <w:rFonts w:asciiTheme="minorHAnsi" w:eastAsia="Times New Roman" w:hAnsiTheme="minorHAnsi" w:cstheme="minorHAnsi"/>
          <w:b/>
          <w:bCs/>
          <w:color w:val="000000" w:themeColor="text1"/>
          <w:sz w:val="20"/>
          <w:szCs w:val="20"/>
        </w:rPr>
        <w:t>9.4. Modelo de integración y gobernanz</w:t>
      </w:r>
      <w:bookmarkEnd w:id="122"/>
      <w:r w:rsidRPr="00160081">
        <w:rPr>
          <w:rFonts w:asciiTheme="minorHAnsi" w:eastAsia="Times New Roman" w:hAnsiTheme="minorHAnsi" w:cstheme="minorHAnsi"/>
          <w:b/>
          <w:bCs/>
          <w:color w:val="000000" w:themeColor="text1"/>
          <w:sz w:val="20"/>
          <w:szCs w:val="20"/>
        </w:rPr>
        <w:t>a</w:t>
      </w:r>
    </w:p>
    <w:p w14:paraId="226B24B0" w14:textId="77777777" w:rsidR="00160081" w:rsidRPr="00160081" w:rsidRDefault="00160081" w:rsidP="00160081">
      <w:pPr>
        <w:rPr>
          <w:rFonts w:cstheme="minorHAnsi"/>
          <w:sz w:val="20"/>
          <w:szCs w:val="20"/>
          <w:lang w:val="es-ES_tradnl"/>
        </w:rPr>
      </w:pPr>
    </w:p>
    <w:p w14:paraId="036B33A1" w14:textId="77777777" w:rsidR="00160081" w:rsidRPr="00160081" w:rsidRDefault="00160081" w:rsidP="00160081">
      <w:pPr>
        <w:jc w:val="both"/>
        <w:rPr>
          <w:rFonts w:cstheme="minorHAnsi"/>
          <w:sz w:val="20"/>
          <w:szCs w:val="20"/>
        </w:rPr>
      </w:pPr>
      <w:r w:rsidRPr="00160081">
        <w:rPr>
          <w:rFonts w:cstheme="minorHAnsi"/>
          <w:sz w:val="20"/>
          <w:szCs w:val="20"/>
        </w:rPr>
        <w:t>El contratista deberá entregar, como parte integral del servicio, un Modelo de Integración y Gobernanza de la suite tecnológica integral, el cual constituirá el marco obligatorio para asegurar que la solución sea implementada, operada y evolucionada de manera ordenada, controlada, segura y auditable. Dicho modelo deberá garantizar la correcta articulación entre los componentes de la suite (BPMS, BRMS, ECM y SGRT), su integración con los sistemas institucionales del SRI y la alineación permanente con los lineamientos normativos, técnicos y operativos vigentes.</w:t>
      </w:r>
    </w:p>
    <w:p w14:paraId="51FB2D47" w14:textId="77777777" w:rsidR="00160081" w:rsidRPr="00160081" w:rsidRDefault="00160081" w:rsidP="00160081">
      <w:pPr>
        <w:jc w:val="both"/>
        <w:rPr>
          <w:rFonts w:cstheme="minorHAnsi"/>
          <w:sz w:val="20"/>
          <w:szCs w:val="20"/>
        </w:rPr>
      </w:pPr>
      <w:r w:rsidRPr="00160081">
        <w:rPr>
          <w:rFonts w:cstheme="minorHAnsi"/>
          <w:sz w:val="20"/>
          <w:szCs w:val="20"/>
        </w:rPr>
        <w:t>Su objetivo es integrar de manera coherente los componentes funcionales habilitadores de la suite, proporcionando un marco institucional que:</w:t>
      </w:r>
    </w:p>
    <w:p w14:paraId="52544362" w14:textId="77777777" w:rsidR="00160081" w:rsidRPr="00160081" w:rsidRDefault="00160081" w:rsidP="00160081">
      <w:pPr>
        <w:pStyle w:val="Prrafodelista"/>
        <w:numPr>
          <w:ilvl w:val="0"/>
          <w:numId w:val="52"/>
        </w:numPr>
        <w:spacing w:after="0" w:line="240" w:lineRule="auto"/>
        <w:jc w:val="both"/>
        <w:rPr>
          <w:rFonts w:cstheme="minorHAnsi"/>
          <w:sz w:val="20"/>
          <w:szCs w:val="20"/>
          <w:lang w:val="es-ES_tradnl"/>
        </w:rPr>
      </w:pPr>
      <w:r w:rsidRPr="00160081">
        <w:rPr>
          <w:rFonts w:cstheme="minorHAnsi"/>
          <w:sz w:val="20"/>
          <w:szCs w:val="20"/>
          <w:lang w:val="es-ES_tradnl"/>
        </w:rPr>
        <w:t>Garantice la autonomía del SRI en el descubrimiento, priorización y liberación de casos de uso, tanto definidos en este documento como los futuros.</w:t>
      </w:r>
    </w:p>
    <w:p w14:paraId="05A9E3E4" w14:textId="77777777" w:rsidR="00160081" w:rsidRPr="00160081" w:rsidRDefault="00160081" w:rsidP="00160081">
      <w:pPr>
        <w:pStyle w:val="Prrafodelista"/>
        <w:numPr>
          <w:ilvl w:val="0"/>
          <w:numId w:val="52"/>
        </w:numPr>
        <w:spacing w:after="0" w:line="240" w:lineRule="auto"/>
        <w:jc w:val="both"/>
        <w:rPr>
          <w:rFonts w:cstheme="minorHAnsi"/>
          <w:sz w:val="20"/>
          <w:szCs w:val="20"/>
          <w:lang w:val="es-ES_tradnl"/>
        </w:rPr>
      </w:pPr>
      <w:r w:rsidRPr="00160081">
        <w:rPr>
          <w:rFonts w:cstheme="minorHAnsi"/>
          <w:sz w:val="20"/>
          <w:szCs w:val="20"/>
          <w:lang w:val="es-ES_tradnl"/>
        </w:rPr>
        <w:t>Asegure la trazabilidad y control de versiones de procesos, reglas y documentos.</w:t>
      </w:r>
    </w:p>
    <w:p w14:paraId="61985AC6" w14:textId="77777777" w:rsidR="00160081" w:rsidRPr="00160081" w:rsidRDefault="00160081" w:rsidP="00160081">
      <w:pPr>
        <w:pStyle w:val="Prrafodelista"/>
        <w:numPr>
          <w:ilvl w:val="0"/>
          <w:numId w:val="52"/>
        </w:numPr>
        <w:spacing w:after="0" w:line="240" w:lineRule="auto"/>
        <w:jc w:val="both"/>
        <w:rPr>
          <w:rFonts w:cstheme="minorHAnsi"/>
          <w:sz w:val="20"/>
          <w:szCs w:val="20"/>
          <w:lang w:val="es-ES_tradnl"/>
        </w:rPr>
      </w:pPr>
      <w:r w:rsidRPr="00160081">
        <w:rPr>
          <w:rFonts w:cstheme="minorHAnsi"/>
          <w:sz w:val="20"/>
          <w:szCs w:val="20"/>
          <w:lang w:val="es-ES_tradnl"/>
        </w:rPr>
        <w:t>Permita la interoperabilidad con los sistemas legados y repositorios institucionales.</w:t>
      </w:r>
    </w:p>
    <w:p w14:paraId="2CDF3992" w14:textId="77777777" w:rsidR="00160081" w:rsidRPr="00160081" w:rsidRDefault="00160081" w:rsidP="00160081">
      <w:pPr>
        <w:jc w:val="both"/>
        <w:rPr>
          <w:rFonts w:cstheme="minorHAnsi"/>
          <w:sz w:val="20"/>
          <w:szCs w:val="20"/>
          <w:lang w:val="es-ES_tradnl"/>
        </w:rPr>
      </w:pPr>
    </w:p>
    <w:p w14:paraId="0AB04F23" w14:textId="77777777" w:rsidR="00160081" w:rsidRPr="00160081" w:rsidRDefault="00160081" w:rsidP="00160081">
      <w:pPr>
        <w:jc w:val="both"/>
        <w:rPr>
          <w:rFonts w:cstheme="minorHAnsi"/>
          <w:sz w:val="20"/>
          <w:szCs w:val="20"/>
          <w:lang w:val="es-ES_tradnl"/>
        </w:rPr>
      </w:pPr>
      <w:r w:rsidRPr="00160081">
        <w:rPr>
          <w:rFonts w:cstheme="minorHAnsi"/>
          <w:sz w:val="20"/>
          <w:szCs w:val="20"/>
          <w:lang w:val="es-ES_tradnl"/>
        </w:rPr>
        <w:t>Minimice la dependencia futura de contratistas externos, favoreciendo la reutilización de capacidades existentes.</w:t>
      </w:r>
    </w:p>
    <w:p w14:paraId="1CA1BF51" w14:textId="77777777" w:rsidR="00160081" w:rsidRDefault="00160081" w:rsidP="00160081">
      <w:pPr>
        <w:jc w:val="both"/>
        <w:rPr>
          <w:rFonts w:cstheme="minorHAnsi"/>
          <w:sz w:val="20"/>
          <w:szCs w:val="20"/>
          <w:lang w:val="es-ES_tradnl"/>
        </w:rPr>
      </w:pPr>
      <w:r w:rsidRPr="00160081">
        <w:rPr>
          <w:rFonts w:cstheme="minorHAnsi"/>
          <w:sz w:val="20"/>
          <w:szCs w:val="20"/>
          <w:lang w:val="es-ES_tradnl"/>
        </w:rPr>
        <w:t>Este marco será de cumplimiento obligatorio para el contratista adjudicado y servirá como referencia para el diseño de los criterios de aceptación y supervisión que rigen la ejecución contractual.</w:t>
      </w:r>
    </w:p>
    <w:p w14:paraId="221220E2" w14:textId="77777777" w:rsidR="00616507" w:rsidRPr="00160081" w:rsidRDefault="00616507" w:rsidP="00160081">
      <w:pPr>
        <w:jc w:val="both"/>
        <w:rPr>
          <w:rFonts w:cstheme="minorHAnsi"/>
          <w:sz w:val="20"/>
          <w:szCs w:val="20"/>
          <w:lang w:val="es-ES_tradnl"/>
        </w:rPr>
      </w:pPr>
    </w:p>
    <w:p w14:paraId="636DC1B8"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23" w:name="_Toc216114236"/>
      <w:bookmarkStart w:id="124" w:name="_Toc217326233"/>
      <w:r w:rsidRPr="00160081">
        <w:rPr>
          <w:rFonts w:asciiTheme="minorHAnsi" w:eastAsia="Times New Roman" w:hAnsiTheme="minorHAnsi" w:cstheme="minorHAnsi"/>
          <w:b/>
          <w:bCs/>
          <w:color w:val="000000" w:themeColor="text1"/>
          <w:sz w:val="20"/>
          <w:szCs w:val="20"/>
        </w:rPr>
        <w:t>9.4.1 Gobernanza de nuevos casos</w:t>
      </w:r>
      <w:bookmarkEnd w:id="123"/>
      <w:bookmarkEnd w:id="124"/>
    </w:p>
    <w:p w14:paraId="04AD9A78" w14:textId="77777777" w:rsidR="00160081" w:rsidRPr="00160081" w:rsidRDefault="00160081" w:rsidP="00160081">
      <w:pPr>
        <w:rPr>
          <w:rFonts w:cstheme="minorHAnsi"/>
          <w:sz w:val="20"/>
          <w:szCs w:val="20"/>
        </w:rPr>
      </w:pPr>
    </w:p>
    <w:p w14:paraId="130BB348" w14:textId="77777777" w:rsidR="00160081" w:rsidRPr="00160081" w:rsidRDefault="00160081" w:rsidP="00160081">
      <w:pPr>
        <w:jc w:val="both"/>
        <w:rPr>
          <w:rFonts w:cstheme="minorHAnsi"/>
          <w:sz w:val="20"/>
          <w:szCs w:val="20"/>
        </w:rPr>
      </w:pPr>
      <w:r w:rsidRPr="00160081">
        <w:rPr>
          <w:rFonts w:cstheme="minorHAnsi"/>
          <w:sz w:val="20"/>
          <w:szCs w:val="20"/>
        </w:rPr>
        <w:t>Una vez implementada la suite tecnológica integral y los casos de uso iniciales, la construcción, configuración y despliegue de nuevos casos de uso será responsabilidad del SRI.; sin embargo, deberá garantizar que la solución implementada permita al SRI realizar dicha construcción de manera autónoma, ordenada y bajo buenas prácticas, y deberá brindar el acompañamiento técnico necesario para asegurar la sostenibilidad y evolución de la suite.</w:t>
      </w:r>
    </w:p>
    <w:p w14:paraId="1324D171" w14:textId="77777777" w:rsidR="00160081" w:rsidRPr="00160081" w:rsidRDefault="00160081" w:rsidP="00160081">
      <w:pPr>
        <w:jc w:val="both"/>
        <w:rPr>
          <w:rFonts w:cstheme="minorHAnsi"/>
          <w:sz w:val="20"/>
          <w:szCs w:val="20"/>
        </w:rPr>
      </w:pPr>
      <w:r w:rsidRPr="00160081">
        <w:rPr>
          <w:rFonts w:cstheme="minorHAnsi"/>
          <w:sz w:val="20"/>
          <w:szCs w:val="20"/>
        </w:rPr>
        <w:t>En este marco, las responsabilidades del contratista respecto de la incorporación de nuevos casos de uso serán las siguientes:</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3"/>
        <w:gridCol w:w="6838"/>
      </w:tblGrid>
      <w:tr w:rsidR="00160081" w:rsidRPr="00160081" w14:paraId="55E0C889" w14:textId="77777777" w:rsidTr="00616507">
        <w:trPr>
          <w:trHeight w:val="320"/>
          <w:tblHeader/>
          <w:jc w:val="center"/>
        </w:trPr>
        <w:tc>
          <w:tcPr>
            <w:tcW w:w="0" w:type="auto"/>
            <w:noWrap/>
            <w:vAlign w:val="center"/>
            <w:hideMark/>
          </w:tcPr>
          <w:p w14:paraId="008D7B1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Responsabilidad</w:t>
            </w:r>
          </w:p>
        </w:tc>
        <w:tc>
          <w:tcPr>
            <w:tcW w:w="6838" w:type="dxa"/>
            <w:noWrap/>
            <w:vAlign w:val="center"/>
            <w:hideMark/>
          </w:tcPr>
          <w:p w14:paraId="4EB6CCEF"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r>
      <w:tr w:rsidR="00160081" w:rsidRPr="00160081" w14:paraId="0F6D0B44" w14:textId="77777777" w:rsidTr="00616507">
        <w:trPr>
          <w:trHeight w:val="644"/>
          <w:jc w:val="center"/>
        </w:trPr>
        <w:tc>
          <w:tcPr>
            <w:tcW w:w="0" w:type="auto"/>
            <w:vAlign w:val="center"/>
            <w:hideMark/>
          </w:tcPr>
          <w:p w14:paraId="2B7A21AA"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1. Provisión de herramientas y plantillas</w:t>
            </w:r>
          </w:p>
        </w:tc>
        <w:tc>
          <w:tcPr>
            <w:tcW w:w="6838" w:type="dxa"/>
            <w:vAlign w:val="center"/>
            <w:hideMark/>
          </w:tcPr>
          <w:p w14:paraId="076A2DD5"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Entregar plantillas estándar para modelado de procesos, definición de reglas, tipos documentales, metadatos y lineamientos de integración, que permitan al SRI construir nuevos casos de uso con autonomía.</w:t>
            </w:r>
          </w:p>
        </w:tc>
      </w:tr>
      <w:tr w:rsidR="00160081" w:rsidRPr="00160081" w14:paraId="28A74F65" w14:textId="77777777" w:rsidTr="00616507">
        <w:trPr>
          <w:trHeight w:val="612"/>
          <w:jc w:val="center"/>
        </w:trPr>
        <w:tc>
          <w:tcPr>
            <w:tcW w:w="0" w:type="auto"/>
            <w:vAlign w:val="center"/>
            <w:hideMark/>
          </w:tcPr>
          <w:p w14:paraId="6555DCBC"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2. Acompañamiento técnico y metodológico</w:t>
            </w:r>
          </w:p>
        </w:tc>
        <w:tc>
          <w:tcPr>
            <w:tcW w:w="6838" w:type="dxa"/>
            <w:vAlign w:val="center"/>
            <w:hideMark/>
          </w:tcPr>
          <w:p w14:paraId="2A01F882"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Asesorar al SRI en la definición preliminar, análisis técnico y diseño funcional de nuevos casos de uso, asegurando el uso adecuado de las capacidades BPMS, BRMS, ECM y SGRT.</w:t>
            </w:r>
          </w:p>
        </w:tc>
      </w:tr>
      <w:tr w:rsidR="00160081" w:rsidRPr="00160081" w14:paraId="059E94A4" w14:textId="77777777" w:rsidTr="00616507">
        <w:trPr>
          <w:trHeight w:val="723"/>
          <w:jc w:val="center"/>
        </w:trPr>
        <w:tc>
          <w:tcPr>
            <w:tcW w:w="0" w:type="auto"/>
            <w:vAlign w:val="center"/>
            <w:hideMark/>
          </w:tcPr>
          <w:p w14:paraId="359DAA10"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3. Revisión de factibilidad técnica</w:t>
            </w:r>
          </w:p>
        </w:tc>
        <w:tc>
          <w:tcPr>
            <w:tcW w:w="6838" w:type="dxa"/>
            <w:vAlign w:val="center"/>
            <w:hideMark/>
          </w:tcPr>
          <w:p w14:paraId="7C91EF8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Evaluar que cada nuevo caso de uso propuesto pueda implementarse con las capacidades estándar de la suite, sin desarrollos ad hoc o afectaciones a la arquitectura.</w:t>
            </w:r>
          </w:p>
        </w:tc>
      </w:tr>
      <w:tr w:rsidR="00160081" w:rsidRPr="00160081" w14:paraId="7E8641BD" w14:textId="77777777" w:rsidTr="00616507">
        <w:trPr>
          <w:trHeight w:val="535"/>
          <w:jc w:val="center"/>
        </w:trPr>
        <w:tc>
          <w:tcPr>
            <w:tcW w:w="0" w:type="auto"/>
            <w:vAlign w:val="center"/>
            <w:hideMark/>
          </w:tcPr>
          <w:p w14:paraId="2FB90A75"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4. Asesoría sobre el ciclo de vida del caso de uso</w:t>
            </w:r>
          </w:p>
        </w:tc>
        <w:tc>
          <w:tcPr>
            <w:tcW w:w="6838" w:type="dxa"/>
            <w:vAlign w:val="center"/>
            <w:hideMark/>
          </w:tcPr>
          <w:p w14:paraId="68D2EACA"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Orientar a los equipos del SRI en el levantamiento, diseño, modelado, configuración, pruebas y preparación de artefactos de despliegue.</w:t>
            </w:r>
          </w:p>
        </w:tc>
      </w:tr>
      <w:tr w:rsidR="00160081" w:rsidRPr="00160081" w14:paraId="3E1B61CA" w14:textId="77777777" w:rsidTr="00616507">
        <w:trPr>
          <w:trHeight w:val="549"/>
          <w:jc w:val="center"/>
        </w:trPr>
        <w:tc>
          <w:tcPr>
            <w:tcW w:w="0" w:type="auto"/>
            <w:vAlign w:val="center"/>
            <w:hideMark/>
          </w:tcPr>
          <w:p w14:paraId="7F94E13F"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5. Soporte técnico durante la configuración</w:t>
            </w:r>
          </w:p>
        </w:tc>
        <w:tc>
          <w:tcPr>
            <w:tcW w:w="6838" w:type="dxa"/>
            <w:vAlign w:val="center"/>
            <w:hideMark/>
          </w:tcPr>
          <w:p w14:paraId="0D923C2E"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Proveer asistencia cuando surjan incidencias relacionadas con la solución durante la construcción y pruebas del caso de uso por parte del SRI.</w:t>
            </w:r>
          </w:p>
        </w:tc>
      </w:tr>
      <w:tr w:rsidR="00160081" w:rsidRPr="00160081" w14:paraId="5D01AA0C" w14:textId="77777777" w:rsidTr="00616507">
        <w:trPr>
          <w:trHeight w:val="658"/>
          <w:jc w:val="center"/>
        </w:trPr>
        <w:tc>
          <w:tcPr>
            <w:tcW w:w="0" w:type="auto"/>
            <w:vAlign w:val="center"/>
            <w:hideMark/>
          </w:tcPr>
          <w:p w14:paraId="3B835B40"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6. Garantía de versionado, trazabilidad y auditoría</w:t>
            </w:r>
          </w:p>
        </w:tc>
        <w:tc>
          <w:tcPr>
            <w:tcW w:w="6838" w:type="dxa"/>
            <w:vAlign w:val="center"/>
            <w:hideMark/>
          </w:tcPr>
          <w:p w14:paraId="39506A10" w14:textId="77777777" w:rsidR="00160081" w:rsidRPr="00160081" w:rsidRDefault="00160081" w:rsidP="00BD3D91">
            <w:pPr>
              <w:jc w:val="both"/>
              <w:rPr>
                <w:rFonts w:cstheme="minorHAnsi"/>
                <w:color w:val="000000"/>
                <w:sz w:val="20"/>
                <w:szCs w:val="20"/>
              </w:rPr>
            </w:pPr>
            <w:proofErr w:type="gramStart"/>
            <w:r w:rsidRPr="00160081">
              <w:rPr>
                <w:rFonts w:cstheme="minorHAnsi"/>
                <w:color w:val="000000"/>
                <w:sz w:val="20"/>
                <w:szCs w:val="20"/>
              </w:rPr>
              <w:t>Asegurar</w:t>
            </w:r>
            <w:proofErr w:type="gramEnd"/>
            <w:r w:rsidRPr="00160081">
              <w:rPr>
                <w:rFonts w:cstheme="minorHAnsi"/>
                <w:color w:val="000000"/>
                <w:sz w:val="20"/>
                <w:szCs w:val="20"/>
              </w:rPr>
              <w:t xml:space="preserve"> que la suite cuente con mecanismos nativos para registrar versiones, trazabilidad de artefactos y controles de auditoría aplicables a nuevos casos de uso.</w:t>
            </w:r>
          </w:p>
        </w:tc>
      </w:tr>
      <w:tr w:rsidR="00160081" w:rsidRPr="00160081" w14:paraId="683ECBFD" w14:textId="77777777" w:rsidTr="00616507">
        <w:trPr>
          <w:trHeight w:val="768"/>
          <w:jc w:val="center"/>
        </w:trPr>
        <w:tc>
          <w:tcPr>
            <w:tcW w:w="0" w:type="auto"/>
            <w:vAlign w:val="center"/>
            <w:hideMark/>
          </w:tcPr>
          <w:p w14:paraId="23E57E1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7. Capacitación avanzada y transferencia de conocimiento</w:t>
            </w:r>
          </w:p>
        </w:tc>
        <w:tc>
          <w:tcPr>
            <w:tcW w:w="6838" w:type="dxa"/>
            <w:vAlign w:val="center"/>
            <w:hideMark/>
          </w:tcPr>
          <w:p w14:paraId="36229870"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Entrenar a los equipos técnicos y funcionales del SRI para que puedan diseñar, modelar y desplegar nuevos casos de uso sin depender del contratista.</w:t>
            </w:r>
          </w:p>
        </w:tc>
      </w:tr>
      <w:tr w:rsidR="00160081" w:rsidRPr="00160081" w14:paraId="6B9130E6" w14:textId="77777777" w:rsidTr="00616507">
        <w:trPr>
          <w:trHeight w:val="694"/>
          <w:jc w:val="center"/>
        </w:trPr>
        <w:tc>
          <w:tcPr>
            <w:tcW w:w="0" w:type="auto"/>
            <w:vAlign w:val="center"/>
            <w:hideMark/>
          </w:tcPr>
          <w:p w14:paraId="4C2497CE"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8. Validación de interoperabilidad y estabilidad</w:t>
            </w:r>
          </w:p>
        </w:tc>
        <w:tc>
          <w:tcPr>
            <w:tcW w:w="6838" w:type="dxa"/>
            <w:vAlign w:val="center"/>
            <w:hideMark/>
          </w:tcPr>
          <w:p w14:paraId="32E08D15"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Revisar configuraciones y diseños ejecutados por el SRI para evitar afectaciones a las integraciones existentes, el rendimiento o la seguridad de la solución.</w:t>
            </w:r>
          </w:p>
        </w:tc>
      </w:tr>
      <w:tr w:rsidR="00160081" w:rsidRPr="00160081" w14:paraId="41F05156" w14:textId="77777777" w:rsidTr="00616507">
        <w:trPr>
          <w:trHeight w:val="662"/>
          <w:jc w:val="center"/>
        </w:trPr>
        <w:tc>
          <w:tcPr>
            <w:tcW w:w="0" w:type="auto"/>
            <w:vAlign w:val="center"/>
            <w:hideMark/>
          </w:tcPr>
          <w:p w14:paraId="3C0DD25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9. Recomendaciones técnicas formales</w:t>
            </w:r>
          </w:p>
        </w:tc>
        <w:tc>
          <w:tcPr>
            <w:tcW w:w="6838" w:type="dxa"/>
            <w:vAlign w:val="center"/>
            <w:hideMark/>
          </w:tcPr>
          <w:p w14:paraId="794AB435"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Emitir observaciones y lineamientos cuando un nuevo caso de uso pueda comprometer la arquitectura, seguridad, desempeño o integración de la suite.</w:t>
            </w:r>
          </w:p>
        </w:tc>
      </w:tr>
    </w:tbl>
    <w:p w14:paraId="3B6D224A" w14:textId="77777777" w:rsidR="00160081" w:rsidRPr="00160081" w:rsidRDefault="00160081" w:rsidP="00160081">
      <w:pPr>
        <w:jc w:val="both"/>
        <w:rPr>
          <w:rFonts w:cstheme="minorHAnsi"/>
          <w:sz w:val="20"/>
          <w:szCs w:val="20"/>
        </w:rPr>
      </w:pPr>
    </w:p>
    <w:p w14:paraId="64C946C0" w14:textId="77777777" w:rsidR="00160081" w:rsidRPr="00160081" w:rsidRDefault="00160081" w:rsidP="00160081">
      <w:pPr>
        <w:jc w:val="both"/>
        <w:rPr>
          <w:rFonts w:cstheme="minorHAnsi"/>
          <w:sz w:val="20"/>
          <w:szCs w:val="20"/>
        </w:rPr>
      </w:pPr>
      <w:r w:rsidRPr="00160081">
        <w:rPr>
          <w:rFonts w:cstheme="minorHAnsi"/>
          <w:sz w:val="20"/>
          <w:szCs w:val="20"/>
        </w:rPr>
        <w:t>Estas responsabilidades tienen por objeto asegurar que la suite tecnológica integral funcione como una plataforma institucional sostenible y que el SRI cuente con los mecanismos, herramientas y conocimientos necesarios para incorporar nuevos casos de uso con autonomía, manteniendo la coherencia técnica y la calidad operativa de la solución.</w:t>
      </w:r>
    </w:p>
    <w:p w14:paraId="1C7DE0ED" w14:textId="77777777" w:rsidR="00160081" w:rsidRPr="00160081" w:rsidRDefault="00160081" w:rsidP="00160081">
      <w:pPr>
        <w:jc w:val="both"/>
        <w:rPr>
          <w:rFonts w:cstheme="minorHAnsi"/>
          <w:sz w:val="20"/>
          <w:szCs w:val="20"/>
        </w:rPr>
      </w:pPr>
      <w:r w:rsidRPr="00160081">
        <w:rPr>
          <w:rFonts w:cstheme="minorHAnsi"/>
          <w:sz w:val="20"/>
          <w:szCs w:val="20"/>
        </w:rPr>
        <w:t>La incorporación y evolución de los casos de uso deberá gestionarse mediante una actividad formal de registro, documentación y control, que el contratista estará obligado a ejecutar y reportar al SRI por cada caso de uso. Esta actividad deberá garantizar:</w:t>
      </w:r>
    </w:p>
    <w:p w14:paraId="120E282E" w14:textId="77777777" w:rsidR="00160081" w:rsidRPr="00160081" w:rsidRDefault="00160081" w:rsidP="00160081">
      <w:pPr>
        <w:pStyle w:val="Prrafodelista"/>
        <w:numPr>
          <w:ilvl w:val="0"/>
          <w:numId w:val="53"/>
        </w:numPr>
        <w:spacing w:after="0" w:line="240" w:lineRule="auto"/>
        <w:jc w:val="both"/>
        <w:rPr>
          <w:rFonts w:cstheme="minorHAnsi"/>
          <w:sz w:val="20"/>
          <w:szCs w:val="20"/>
        </w:rPr>
      </w:pPr>
      <w:r w:rsidRPr="00160081">
        <w:rPr>
          <w:rFonts w:cstheme="minorHAnsi"/>
          <w:sz w:val="20"/>
          <w:szCs w:val="20"/>
        </w:rPr>
        <w:t>El control de versiones de los procesos, reglas, documentos y demás artefactos asociados al caso de uso.</w:t>
      </w:r>
    </w:p>
    <w:p w14:paraId="4428243C" w14:textId="77777777" w:rsidR="00160081" w:rsidRPr="00160081" w:rsidRDefault="00160081" w:rsidP="00160081">
      <w:pPr>
        <w:pStyle w:val="Prrafodelista"/>
        <w:numPr>
          <w:ilvl w:val="0"/>
          <w:numId w:val="53"/>
        </w:numPr>
        <w:spacing w:after="0" w:line="240" w:lineRule="auto"/>
        <w:jc w:val="both"/>
        <w:rPr>
          <w:rFonts w:cstheme="minorHAnsi"/>
          <w:sz w:val="20"/>
          <w:szCs w:val="20"/>
        </w:rPr>
      </w:pPr>
      <w:r w:rsidRPr="00160081">
        <w:rPr>
          <w:rFonts w:cstheme="minorHAnsi"/>
          <w:sz w:val="20"/>
          <w:szCs w:val="20"/>
        </w:rPr>
        <w:t>El registro y la trazabilidad completa de los cambios funcionales y técnicos durante todo el ciclo de vida del caso de uso.</w:t>
      </w:r>
    </w:p>
    <w:p w14:paraId="5302DC20" w14:textId="77777777" w:rsidR="00160081" w:rsidRPr="00160081" w:rsidRDefault="00160081" w:rsidP="00160081">
      <w:pPr>
        <w:pStyle w:val="Prrafodelista"/>
        <w:numPr>
          <w:ilvl w:val="0"/>
          <w:numId w:val="53"/>
        </w:numPr>
        <w:spacing w:after="0" w:line="240" w:lineRule="auto"/>
        <w:jc w:val="both"/>
        <w:rPr>
          <w:rFonts w:cstheme="minorHAnsi"/>
          <w:sz w:val="20"/>
          <w:szCs w:val="20"/>
        </w:rPr>
      </w:pPr>
      <w:r w:rsidRPr="00160081">
        <w:rPr>
          <w:rFonts w:cstheme="minorHAnsi"/>
          <w:sz w:val="20"/>
          <w:szCs w:val="20"/>
        </w:rPr>
        <w:t>La incorporación ordenada y autorizada de nuevos casos de uso, conforme al modelo de integración y gobernanza y previa revisión del SRI.</w:t>
      </w:r>
    </w:p>
    <w:p w14:paraId="7DC4477C" w14:textId="77777777" w:rsidR="00160081" w:rsidRPr="00160081" w:rsidRDefault="00160081" w:rsidP="00160081">
      <w:pPr>
        <w:jc w:val="both"/>
        <w:rPr>
          <w:rFonts w:cstheme="minorHAnsi"/>
          <w:sz w:val="20"/>
          <w:szCs w:val="20"/>
        </w:rPr>
      </w:pPr>
      <w:r w:rsidRPr="00160081">
        <w:rPr>
          <w:rFonts w:cstheme="minorHAnsi"/>
          <w:sz w:val="20"/>
          <w:szCs w:val="20"/>
        </w:rPr>
        <w:t>El contratista deberá entregar al SRI la evidencia, documentación y reportes que respalden el cumplimiento de estas actividades. El cumplimiento de estos lineamientos será condición obligatoria para la aceptación de cada caso de uso y para la aceptación final de la suite tecnológica integral.</w:t>
      </w:r>
    </w:p>
    <w:p w14:paraId="11A9F8EF" w14:textId="77777777" w:rsidR="00616507" w:rsidRDefault="00616507" w:rsidP="00160081">
      <w:pPr>
        <w:pStyle w:val="Ttulo2"/>
        <w:spacing w:before="0" w:after="0"/>
        <w:jc w:val="both"/>
        <w:rPr>
          <w:rFonts w:asciiTheme="minorHAnsi" w:eastAsia="Times New Roman" w:hAnsiTheme="minorHAnsi" w:cstheme="minorHAnsi"/>
          <w:b/>
          <w:bCs/>
          <w:color w:val="000000" w:themeColor="text1"/>
          <w:sz w:val="20"/>
          <w:szCs w:val="20"/>
        </w:rPr>
      </w:pPr>
      <w:bookmarkStart w:id="125" w:name="_Toc216114237"/>
      <w:bookmarkStart w:id="126" w:name="_Toc217326234"/>
    </w:p>
    <w:p w14:paraId="44571E77" w14:textId="09BC237C" w:rsidR="00160081" w:rsidRPr="00160081" w:rsidRDefault="00160081" w:rsidP="00160081">
      <w:pPr>
        <w:pStyle w:val="Ttulo2"/>
        <w:spacing w:before="0" w:after="0"/>
        <w:jc w:val="both"/>
        <w:rPr>
          <w:rFonts w:asciiTheme="minorHAnsi" w:eastAsia="Times New Roman" w:hAnsiTheme="minorHAnsi" w:cstheme="minorHAnsi"/>
          <w:b/>
          <w:bCs/>
          <w:color w:val="000000" w:themeColor="text1"/>
          <w:sz w:val="20"/>
          <w:szCs w:val="20"/>
        </w:rPr>
      </w:pPr>
      <w:r w:rsidRPr="00160081">
        <w:rPr>
          <w:rFonts w:asciiTheme="minorHAnsi" w:eastAsia="Times New Roman" w:hAnsiTheme="minorHAnsi" w:cstheme="minorHAnsi"/>
          <w:b/>
          <w:bCs/>
          <w:color w:val="000000" w:themeColor="text1"/>
          <w:sz w:val="20"/>
          <w:szCs w:val="20"/>
        </w:rPr>
        <w:t>9.4.2 Interoperabilidad con documentos, reglas y datos existentes</w:t>
      </w:r>
      <w:bookmarkEnd w:id="125"/>
      <w:bookmarkEnd w:id="126"/>
    </w:p>
    <w:p w14:paraId="07E8D190" w14:textId="77777777" w:rsidR="00616507" w:rsidRDefault="00616507" w:rsidP="00160081">
      <w:pPr>
        <w:jc w:val="both"/>
        <w:rPr>
          <w:rFonts w:cstheme="minorHAnsi"/>
          <w:sz w:val="20"/>
          <w:szCs w:val="20"/>
        </w:rPr>
      </w:pPr>
    </w:p>
    <w:p w14:paraId="5EC164F3" w14:textId="32191935" w:rsidR="00160081" w:rsidRPr="00160081" w:rsidRDefault="00160081" w:rsidP="00160081">
      <w:pPr>
        <w:jc w:val="both"/>
        <w:rPr>
          <w:rFonts w:cstheme="minorHAnsi"/>
          <w:sz w:val="20"/>
          <w:szCs w:val="20"/>
        </w:rPr>
      </w:pPr>
      <w:r w:rsidRPr="00160081">
        <w:rPr>
          <w:rFonts w:cstheme="minorHAnsi"/>
          <w:sz w:val="20"/>
          <w:szCs w:val="20"/>
        </w:rPr>
        <w:t>La suite tecnológica integral deberá habilitar capacidades de interoperabilidad con los repositorios documentales, bases de datos y sistemas legados del SRI, garantizando el acceso seguro, trazable y controlado a documentos, expedientes electrónicos, datos operativos y reglas de negocio históricas, sin requerir su traslado físico ni la migración masiva hacia la nueva plataforma, de acuerdo con los requerimientos que se establezcan en los casos de uso</w:t>
      </w:r>
    </w:p>
    <w:p w14:paraId="192CD55C" w14:textId="77777777" w:rsidR="00160081" w:rsidRPr="00160081" w:rsidRDefault="00160081" w:rsidP="00160081">
      <w:pPr>
        <w:jc w:val="both"/>
        <w:rPr>
          <w:rFonts w:cstheme="minorHAnsi"/>
          <w:sz w:val="20"/>
          <w:szCs w:val="20"/>
        </w:rPr>
      </w:pPr>
      <w:r w:rsidRPr="00160081">
        <w:rPr>
          <w:rFonts w:cstheme="minorHAnsi"/>
          <w:sz w:val="20"/>
          <w:szCs w:val="20"/>
        </w:rPr>
        <w:t>La información institucional deberá mantenerse en sus repositorios de origen, accediendo a ella mediante mecanismos certificados de integración, preservando la continuidad operativa y la integridad de los datos.</w:t>
      </w:r>
    </w:p>
    <w:p w14:paraId="2D3FB47C" w14:textId="77777777" w:rsidR="00160081" w:rsidRPr="00160081" w:rsidRDefault="00160081" w:rsidP="00160081">
      <w:pPr>
        <w:jc w:val="both"/>
        <w:rPr>
          <w:rFonts w:cstheme="minorHAnsi"/>
          <w:sz w:val="20"/>
          <w:szCs w:val="20"/>
        </w:rPr>
      </w:pPr>
      <w:r w:rsidRPr="00160081">
        <w:rPr>
          <w:rFonts w:cstheme="minorHAnsi"/>
          <w:sz w:val="20"/>
          <w:szCs w:val="20"/>
        </w:rPr>
        <w:t>En este marco, la solución deberá permitir, como mínimo, con lo siguiente:</w:t>
      </w:r>
    </w:p>
    <w:p w14:paraId="76B44FBA"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 xml:space="preserve">Interoperabilidad con repositorios documentales y sistemas legados. La suite deberá integrarse con los sistemas documentales y módulos institucionales vigentes utilizando </w:t>
      </w:r>
      <w:proofErr w:type="spellStart"/>
      <w:r w:rsidRPr="00160081">
        <w:rPr>
          <w:rFonts w:cstheme="minorHAnsi"/>
          <w:sz w:val="20"/>
          <w:szCs w:val="20"/>
        </w:rPr>
        <w:t>APIs</w:t>
      </w:r>
      <w:proofErr w:type="spellEnd"/>
      <w:r w:rsidRPr="00160081">
        <w:rPr>
          <w:rFonts w:cstheme="minorHAnsi"/>
          <w:sz w:val="20"/>
          <w:szCs w:val="20"/>
        </w:rPr>
        <w:t xml:space="preserve"> oficiales, servicios web, conectores certificados u otros mecanismos autorizados. Esta integración deberá permitir la consulta en línea de documentos, expedientes y reglas históricas, sin replicación ni duplicación de la información.</w:t>
      </w:r>
    </w:p>
    <w:p w14:paraId="7E63807D"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Acceso seguro a datos históricos. Toda consulta a documentos, expedientes, reglas u otros elementos alojados en sistemas legados deberá ejecutarse bajo mecanismos formales de autenticación, autorización y auditoría. El acceso deberá cumplir estrictamente la normativa de protección de datos personales y las políticas de seguridad del SRI.</w:t>
      </w:r>
    </w:p>
    <w:p w14:paraId="4A45273B"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No duplicación de información. La suite deberá evitar la creación de copias innecesarias de documentos o datos existentes en repositorios legados, preservando la fuente única de información e impidiendo inconsistencias o sobrecostos en almacenamiento y mantenimiento.</w:t>
      </w:r>
    </w:p>
    <w:p w14:paraId="59FEEAF5"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Conexión con bases de datos institucionales existentes. El acceso a datos alojados en bases de datos operativas del SRI deberá realizarse a través de mecanismos estándar de integración, propuesto por el contratista y aprobado por el SRI, que permitan la consulta controlada y sin extracción indiscriminada de información. No deberá implementarse replicación masiva, sincronización no autorizada ni técnicas de lectura que comprometan el rendimiento o la seguridad del sistema origen.</w:t>
      </w:r>
    </w:p>
    <w:p w14:paraId="2388A1C1"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Consulta en línea de reglas y datos vigentes. Los casos de uso implementados en la suite podrán consultar reglas de negocio almacenadas en sistemas actuales cuando sea necesario para garantizar la continuidad operativa. Dichas consultas deberán realizarse mediante mecanismos de sincronización controlada definidos por el SRI.</w:t>
      </w:r>
    </w:p>
    <w:p w14:paraId="4BB24068" w14:textId="77777777" w:rsidR="00160081" w:rsidRPr="00160081" w:rsidRDefault="00160081" w:rsidP="00160081">
      <w:pPr>
        <w:pStyle w:val="Prrafodelista"/>
        <w:numPr>
          <w:ilvl w:val="0"/>
          <w:numId w:val="54"/>
        </w:numPr>
        <w:spacing w:after="0" w:line="240" w:lineRule="auto"/>
        <w:jc w:val="both"/>
        <w:rPr>
          <w:rFonts w:cstheme="minorHAnsi"/>
          <w:sz w:val="20"/>
          <w:szCs w:val="20"/>
        </w:rPr>
      </w:pPr>
      <w:r w:rsidRPr="00160081">
        <w:rPr>
          <w:rFonts w:cstheme="minorHAnsi"/>
          <w:sz w:val="20"/>
          <w:szCs w:val="20"/>
        </w:rPr>
        <w:t>Cumplimiento de políticas institucionales de archivo y retención. Todos los procesos de integración, consulta o migración selectiva deberán ajustarse a la Regla Técnica de Archivo, los esquemas de retención documental y de datos y la normativa aplicable del SRI, garantizando que los documentos y datos con validez jurídica se mantengan íntegros, accesibles y preservados conforme a los plazos legales.</w:t>
      </w:r>
    </w:p>
    <w:p w14:paraId="105DA0B6" w14:textId="77777777" w:rsidR="00160081" w:rsidRPr="00160081" w:rsidRDefault="00160081" w:rsidP="00160081">
      <w:pPr>
        <w:rPr>
          <w:rFonts w:cstheme="minorHAnsi"/>
          <w:sz w:val="20"/>
          <w:szCs w:val="20"/>
        </w:rPr>
      </w:pPr>
    </w:p>
    <w:p w14:paraId="72EB322B"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27" w:name="_Toc216114238"/>
      <w:bookmarkStart w:id="128" w:name="_Toc217326235"/>
      <w:r w:rsidRPr="00160081">
        <w:rPr>
          <w:rFonts w:asciiTheme="minorHAnsi" w:eastAsia="Times New Roman" w:hAnsiTheme="minorHAnsi" w:cstheme="minorHAnsi"/>
          <w:b/>
          <w:bCs/>
          <w:color w:val="000000" w:themeColor="text1"/>
          <w:sz w:val="20"/>
          <w:szCs w:val="20"/>
        </w:rPr>
        <w:t>9.4.3 Artefactos para gobernanza</w:t>
      </w:r>
      <w:bookmarkEnd w:id="127"/>
      <w:bookmarkEnd w:id="128"/>
    </w:p>
    <w:p w14:paraId="43F08379" w14:textId="77777777" w:rsidR="00160081" w:rsidRPr="00160081" w:rsidRDefault="00160081" w:rsidP="00160081">
      <w:pPr>
        <w:rPr>
          <w:rFonts w:cstheme="minorHAnsi"/>
          <w:sz w:val="20"/>
          <w:szCs w:val="20"/>
        </w:rPr>
      </w:pPr>
    </w:p>
    <w:p w14:paraId="7CF08980" w14:textId="77777777" w:rsidR="00160081" w:rsidRPr="00160081" w:rsidRDefault="00160081" w:rsidP="00160081">
      <w:pPr>
        <w:jc w:val="both"/>
        <w:rPr>
          <w:rFonts w:cstheme="minorHAnsi"/>
          <w:sz w:val="20"/>
          <w:szCs w:val="20"/>
          <w:lang w:val="es-ES_tradnl"/>
        </w:rPr>
      </w:pPr>
      <w:r w:rsidRPr="00160081">
        <w:rPr>
          <w:rFonts w:cstheme="minorHAnsi"/>
          <w:sz w:val="20"/>
          <w:szCs w:val="20"/>
          <w:lang w:val="es-ES_tradnl"/>
        </w:rPr>
        <w:t>El contratista de la suite tecnológica integral deberá entregar un conjunto de artefactos estandarizados, abiertos y editables, que permitan al SRI operar, mantener y evolucionar la solución de forma ordenada, auditable y con mínima dependencia del contratista.</w:t>
      </w:r>
    </w:p>
    <w:p w14:paraId="233120C1" w14:textId="77777777" w:rsidR="00160081" w:rsidRPr="00160081" w:rsidRDefault="00160081" w:rsidP="00160081">
      <w:pPr>
        <w:jc w:val="both"/>
        <w:rPr>
          <w:rFonts w:cstheme="minorHAnsi"/>
          <w:sz w:val="20"/>
          <w:szCs w:val="20"/>
          <w:lang w:val="es-ES_tradnl"/>
        </w:rPr>
      </w:pPr>
      <w:r w:rsidRPr="00160081">
        <w:rPr>
          <w:rFonts w:cstheme="minorHAnsi"/>
          <w:sz w:val="20"/>
          <w:szCs w:val="20"/>
          <w:lang w:val="es-ES_tradnl"/>
        </w:rPr>
        <w:t>Estos artefactos serán propiedad del SRI y deberán integrarse a los repositorios institucionales para garantizar trazabilidad y control de versiones.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6056"/>
      </w:tblGrid>
      <w:tr w:rsidR="00160081" w:rsidRPr="00160081" w14:paraId="19C7B9C1" w14:textId="77777777" w:rsidTr="00BD3D91">
        <w:trPr>
          <w:trHeight w:val="301"/>
          <w:jc w:val="center"/>
        </w:trPr>
        <w:tc>
          <w:tcPr>
            <w:tcW w:w="0" w:type="auto"/>
            <w:vAlign w:val="center"/>
            <w:hideMark/>
          </w:tcPr>
          <w:p w14:paraId="71F0BD45" w14:textId="77777777" w:rsidR="00160081" w:rsidRPr="00160081" w:rsidRDefault="00160081" w:rsidP="00BD3D91">
            <w:pPr>
              <w:jc w:val="center"/>
              <w:rPr>
                <w:rFonts w:cstheme="minorHAnsi"/>
                <w:b/>
                <w:bCs/>
                <w:sz w:val="20"/>
                <w:szCs w:val="20"/>
                <w:lang w:val="es-ES_tradnl"/>
              </w:rPr>
            </w:pPr>
            <w:r w:rsidRPr="00160081">
              <w:rPr>
                <w:rFonts w:cstheme="minorHAnsi"/>
                <w:b/>
                <w:bCs/>
                <w:sz w:val="20"/>
                <w:szCs w:val="20"/>
                <w:lang w:val="es-ES_tradnl"/>
              </w:rPr>
              <w:t>Artefacto</w:t>
            </w:r>
          </w:p>
        </w:tc>
        <w:tc>
          <w:tcPr>
            <w:tcW w:w="0" w:type="auto"/>
            <w:vAlign w:val="center"/>
            <w:hideMark/>
          </w:tcPr>
          <w:p w14:paraId="3B99E3DF" w14:textId="77777777" w:rsidR="00160081" w:rsidRPr="00160081" w:rsidRDefault="00160081" w:rsidP="00BD3D91">
            <w:pPr>
              <w:jc w:val="center"/>
              <w:rPr>
                <w:rFonts w:cstheme="minorHAnsi"/>
                <w:b/>
                <w:bCs/>
                <w:sz w:val="20"/>
                <w:szCs w:val="20"/>
                <w:lang w:val="es-ES_tradnl"/>
              </w:rPr>
            </w:pPr>
            <w:r w:rsidRPr="00160081">
              <w:rPr>
                <w:rFonts w:cstheme="minorHAnsi"/>
                <w:b/>
                <w:bCs/>
                <w:sz w:val="20"/>
                <w:szCs w:val="20"/>
                <w:lang w:val="es-ES_tradnl"/>
              </w:rPr>
              <w:t>Descripción</w:t>
            </w:r>
          </w:p>
        </w:tc>
      </w:tr>
      <w:tr w:rsidR="00160081" w:rsidRPr="00160081" w14:paraId="122B712F" w14:textId="77777777" w:rsidTr="00BD3D91">
        <w:trPr>
          <w:trHeight w:val="608"/>
          <w:jc w:val="center"/>
        </w:trPr>
        <w:tc>
          <w:tcPr>
            <w:tcW w:w="0" w:type="auto"/>
            <w:vAlign w:val="center"/>
            <w:hideMark/>
          </w:tcPr>
          <w:p w14:paraId="1E2DEF7E"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Plantilla de caso de uso</w:t>
            </w:r>
          </w:p>
        </w:tc>
        <w:tc>
          <w:tcPr>
            <w:tcW w:w="0" w:type="auto"/>
            <w:vAlign w:val="center"/>
            <w:hideMark/>
          </w:tcPr>
          <w:p w14:paraId="63496819"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Documento estándar que define objetivo, alcance, actores, flujos BPMN, reglas DMN, tipos documentales, integraciones y criterios de aceptación.</w:t>
            </w:r>
          </w:p>
        </w:tc>
      </w:tr>
      <w:tr w:rsidR="00160081" w:rsidRPr="00160081" w14:paraId="52F27C36" w14:textId="77777777" w:rsidTr="00BD3D91">
        <w:trPr>
          <w:trHeight w:val="583"/>
          <w:jc w:val="center"/>
        </w:trPr>
        <w:tc>
          <w:tcPr>
            <w:tcW w:w="0" w:type="auto"/>
            <w:vAlign w:val="center"/>
            <w:hideMark/>
          </w:tcPr>
          <w:p w14:paraId="27A1D358"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Paquete de procesos (BPMS)</w:t>
            </w:r>
          </w:p>
        </w:tc>
        <w:tc>
          <w:tcPr>
            <w:tcW w:w="0" w:type="auto"/>
            <w:vAlign w:val="center"/>
            <w:hideMark/>
          </w:tcPr>
          <w:p w14:paraId="0635A473" w14:textId="77777777" w:rsidR="00160081" w:rsidRPr="00160081" w:rsidRDefault="00160081" w:rsidP="00BD3D91">
            <w:pPr>
              <w:rPr>
                <w:rFonts w:cstheme="minorHAnsi"/>
                <w:sz w:val="20"/>
                <w:szCs w:val="20"/>
              </w:rPr>
            </w:pPr>
            <w:r w:rsidRPr="00160081">
              <w:rPr>
                <w:rFonts w:cstheme="minorHAnsi"/>
                <w:sz w:val="20"/>
                <w:szCs w:val="20"/>
              </w:rPr>
              <w:t xml:space="preserve">Incluye diagramas BPMN, configuración de tareas humanas y automáticas, reglas de enrutamiento, </w:t>
            </w:r>
            <w:proofErr w:type="spellStart"/>
            <w:r w:rsidRPr="00160081">
              <w:rPr>
                <w:rFonts w:cstheme="minorHAnsi"/>
                <w:sz w:val="20"/>
                <w:szCs w:val="20"/>
              </w:rPr>
              <w:t>KPIs</w:t>
            </w:r>
            <w:proofErr w:type="spellEnd"/>
            <w:r w:rsidRPr="00160081">
              <w:rPr>
                <w:rFonts w:cstheme="minorHAnsi"/>
                <w:sz w:val="20"/>
                <w:szCs w:val="20"/>
              </w:rPr>
              <w:t xml:space="preserve"> y contratos de </w:t>
            </w:r>
            <w:proofErr w:type="spellStart"/>
            <w:r w:rsidRPr="00160081">
              <w:rPr>
                <w:rFonts w:cstheme="minorHAnsi"/>
                <w:sz w:val="20"/>
                <w:szCs w:val="20"/>
              </w:rPr>
              <w:t>APIs</w:t>
            </w:r>
            <w:proofErr w:type="spellEnd"/>
            <w:r w:rsidRPr="00160081">
              <w:rPr>
                <w:rFonts w:cstheme="minorHAnsi"/>
                <w:sz w:val="20"/>
                <w:szCs w:val="20"/>
              </w:rPr>
              <w:t xml:space="preserve"> o eventos.</w:t>
            </w:r>
          </w:p>
        </w:tc>
      </w:tr>
      <w:tr w:rsidR="00160081" w:rsidRPr="00160081" w14:paraId="700220CF" w14:textId="77777777" w:rsidTr="00BD3D91">
        <w:trPr>
          <w:trHeight w:val="809"/>
          <w:jc w:val="center"/>
        </w:trPr>
        <w:tc>
          <w:tcPr>
            <w:tcW w:w="0" w:type="auto"/>
            <w:vAlign w:val="center"/>
            <w:hideMark/>
          </w:tcPr>
          <w:p w14:paraId="3B93F271"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Paquete de reglas (BRMS)</w:t>
            </w:r>
          </w:p>
        </w:tc>
        <w:tc>
          <w:tcPr>
            <w:tcW w:w="0" w:type="auto"/>
            <w:vAlign w:val="center"/>
            <w:hideMark/>
          </w:tcPr>
          <w:p w14:paraId="35C8B630" w14:textId="77777777" w:rsidR="00160081" w:rsidRPr="00160081" w:rsidRDefault="00160081" w:rsidP="00BD3D91">
            <w:pPr>
              <w:rPr>
                <w:rFonts w:cstheme="minorHAnsi"/>
                <w:sz w:val="20"/>
                <w:szCs w:val="20"/>
              </w:rPr>
            </w:pPr>
            <w:r w:rsidRPr="00160081">
              <w:rPr>
                <w:rFonts w:cstheme="minorHAnsi"/>
                <w:sz w:val="20"/>
                <w:szCs w:val="20"/>
              </w:rPr>
              <w:t xml:space="preserve">Catálogo de reglas de negocio (DMN) con metadatos sobre origen normativo, vigencia y responsable, además de pruebas unitarias y procedimientos de control de versiones y </w:t>
            </w:r>
            <w:proofErr w:type="spellStart"/>
            <w:r w:rsidRPr="00160081">
              <w:rPr>
                <w:rFonts w:cstheme="minorHAnsi"/>
                <w:sz w:val="20"/>
                <w:szCs w:val="20"/>
              </w:rPr>
              <w:t>rollback</w:t>
            </w:r>
            <w:proofErr w:type="spellEnd"/>
            <w:r w:rsidRPr="00160081">
              <w:rPr>
                <w:rFonts w:cstheme="minorHAnsi"/>
                <w:sz w:val="20"/>
                <w:szCs w:val="20"/>
              </w:rPr>
              <w:t>.</w:t>
            </w:r>
          </w:p>
        </w:tc>
      </w:tr>
      <w:tr w:rsidR="00160081" w:rsidRPr="00160081" w14:paraId="1B4FFAF3" w14:textId="77777777" w:rsidTr="00BD3D91">
        <w:trPr>
          <w:trHeight w:val="594"/>
          <w:jc w:val="center"/>
        </w:trPr>
        <w:tc>
          <w:tcPr>
            <w:tcW w:w="0" w:type="auto"/>
            <w:vAlign w:val="center"/>
            <w:hideMark/>
          </w:tcPr>
          <w:p w14:paraId="1CB18915"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Paquete documental (ECM)</w:t>
            </w:r>
          </w:p>
        </w:tc>
        <w:tc>
          <w:tcPr>
            <w:tcW w:w="0" w:type="auto"/>
            <w:vAlign w:val="center"/>
            <w:hideMark/>
          </w:tcPr>
          <w:p w14:paraId="61E4A30C"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Definición de grupos documentales, metadatos, políticas de retención y archivo, validaciones plantillas de expedientes.</w:t>
            </w:r>
          </w:p>
        </w:tc>
      </w:tr>
      <w:tr w:rsidR="00160081" w:rsidRPr="00160081" w14:paraId="15EDC619" w14:textId="77777777" w:rsidTr="00BD3D91">
        <w:trPr>
          <w:trHeight w:val="620"/>
          <w:jc w:val="center"/>
        </w:trPr>
        <w:tc>
          <w:tcPr>
            <w:tcW w:w="0" w:type="auto"/>
            <w:vAlign w:val="center"/>
            <w:hideMark/>
          </w:tcPr>
          <w:p w14:paraId="665AEBDB"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Manual de gobernanza y operación</w:t>
            </w:r>
          </w:p>
        </w:tc>
        <w:tc>
          <w:tcPr>
            <w:tcW w:w="0" w:type="auto"/>
            <w:vAlign w:val="center"/>
            <w:hideMark/>
          </w:tcPr>
          <w:p w14:paraId="49171783"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Guía que documenta roles, responsabilidades, flujos de aprobación de casos de uso, normas de versionado, trazabilidad, auditoría y control de calidad.</w:t>
            </w:r>
          </w:p>
        </w:tc>
      </w:tr>
      <w:tr w:rsidR="00160081" w:rsidRPr="00160081" w14:paraId="29060F8C" w14:textId="77777777" w:rsidTr="00BD3D91">
        <w:trPr>
          <w:trHeight w:val="503"/>
          <w:jc w:val="center"/>
        </w:trPr>
        <w:tc>
          <w:tcPr>
            <w:tcW w:w="0" w:type="auto"/>
            <w:vAlign w:val="center"/>
            <w:hideMark/>
          </w:tcPr>
          <w:p w14:paraId="5DD567D3" w14:textId="77777777" w:rsidR="00160081" w:rsidRPr="00160081" w:rsidRDefault="00160081" w:rsidP="00BD3D91">
            <w:pPr>
              <w:rPr>
                <w:rFonts w:cstheme="minorHAnsi"/>
                <w:sz w:val="20"/>
                <w:szCs w:val="20"/>
                <w:lang w:val="es-ES_tradnl"/>
              </w:rPr>
            </w:pPr>
            <w:r w:rsidRPr="00160081">
              <w:rPr>
                <w:rFonts w:cstheme="minorHAnsi"/>
                <w:sz w:val="20"/>
                <w:szCs w:val="20"/>
                <w:lang w:val="es-ES_tradnl"/>
              </w:rPr>
              <w:t>Catálogo de capacidades reutilizables</w:t>
            </w:r>
          </w:p>
        </w:tc>
        <w:tc>
          <w:tcPr>
            <w:tcW w:w="0" w:type="auto"/>
            <w:vAlign w:val="center"/>
            <w:hideMark/>
          </w:tcPr>
          <w:p w14:paraId="5EFCF313" w14:textId="77777777" w:rsidR="00160081" w:rsidRPr="00160081" w:rsidRDefault="00160081" w:rsidP="00BD3D91">
            <w:pPr>
              <w:rPr>
                <w:rFonts w:cstheme="minorHAnsi"/>
                <w:sz w:val="20"/>
                <w:szCs w:val="20"/>
              </w:rPr>
            </w:pPr>
            <w:r w:rsidRPr="00160081">
              <w:rPr>
                <w:rFonts w:cstheme="minorHAnsi"/>
                <w:sz w:val="20"/>
                <w:szCs w:val="20"/>
              </w:rPr>
              <w:t xml:space="preserve">Registro consolidado de procesos, reglas, tipos documentales, integraciones, </w:t>
            </w:r>
            <w:proofErr w:type="spellStart"/>
            <w:r w:rsidRPr="00160081">
              <w:rPr>
                <w:rFonts w:cstheme="minorHAnsi"/>
                <w:sz w:val="20"/>
                <w:szCs w:val="20"/>
              </w:rPr>
              <w:t>APIs</w:t>
            </w:r>
            <w:proofErr w:type="spellEnd"/>
            <w:r w:rsidRPr="00160081">
              <w:rPr>
                <w:rFonts w:cstheme="minorHAnsi"/>
                <w:sz w:val="20"/>
                <w:szCs w:val="20"/>
              </w:rPr>
              <w:t xml:space="preserve"> y otros componentes disponibles en la suite.</w:t>
            </w:r>
          </w:p>
        </w:tc>
      </w:tr>
    </w:tbl>
    <w:p w14:paraId="688F3A0F" w14:textId="77777777" w:rsidR="00160081" w:rsidRPr="00160081" w:rsidRDefault="00160081" w:rsidP="00160081">
      <w:pPr>
        <w:rPr>
          <w:rFonts w:cstheme="minorHAnsi"/>
          <w:sz w:val="20"/>
          <w:szCs w:val="20"/>
          <w:lang w:val="es-ES_tradnl"/>
        </w:rPr>
      </w:pPr>
    </w:p>
    <w:p w14:paraId="59B3473C" w14:textId="77777777" w:rsidR="00160081" w:rsidRPr="00160081" w:rsidRDefault="00160081" w:rsidP="00160081">
      <w:pPr>
        <w:numPr>
          <w:ilvl w:val="0"/>
          <w:numId w:val="47"/>
        </w:numPr>
        <w:tabs>
          <w:tab w:val="clear" w:pos="-219"/>
          <w:tab w:val="num" w:pos="142"/>
        </w:tabs>
        <w:spacing w:after="0" w:line="240" w:lineRule="auto"/>
        <w:ind w:left="142" w:firstLine="0"/>
        <w:rPr>
          <w:rFonts w:cstheme="minorHAnsi"/>
          <w:sz w:val="20"/>
          <w:szCs w:val="20"/>
          <w:lang w:val="es-ES_tradnl"/>
        </w:rPr>
      </w:pPr>
      <w:r w:rsidRPr="00160081">
        <w:rPr>
          <w:rFonts w:cstheme="minorHAnsi"/>
          <w:sz w:val="20"/>
          <w:szCs w:val="20"/>
          <w:lang w:val="es-ES_tradnl"/>
        </w:rPr>
        <w:t>Todos los artefactos deberán entregarse en formatos abiertos y editables.</w:t>
      </w:r>
    </w:p>
    <w:p w14:paraId="4DC0B751" w14:textId="77777777" w:rsidR="00160081" w:rsidRPr="00160081" w:rsidRDefault="00160081" w:rsidP="00160081">
      <w:pPr>
        <w:numPr>
          <w:ilvl w:val="0"/>
          <w:numId w:val="47"/>
        </w:numPr>
        <w:tabs>
          <w:tab w:val="clear" w:pos="-219"/>
          <w:tab w:val="num" w:pos="142"/>
        </w:tabs>
        <w:spacing w:after="0" w:line="240" w:lineRule="auto"/>
        <w:ind w:left="142" w:firstLine="0"/>
        <w:jc w:val="both"/>
        <w:rPr>
          <w:rFonts w:cstheme="minorHAnsi"/>
          <w:sz w:val="20"/>
          <w:szCs w:val="20"/>
          <w:lang w:val="es-ES_tradnl"/>
        </w:rPr>
      </w:pPr>
      <w:r w:rsidRPr="00160081">
        <w:rPr>
          <w:rFonts w:cstheme="minorHAnsi"/>
          <w:sz w:val="20"/>
          <w:szCs w:val="20"/>
          <w:lang w:val="es-ES_tradnl"/>
        </w:rPr>
        <w:t>Su actualización deberá seguir los flujos de aprobación institucional definidos en el modelo de integración y gobernanza de la suite.</w:t>
      </w:r>
    </w:p>
    <w:p w14:paraId="75457531" w14:textId="77777777" w:rsidR="00160081" w:rsidRPr="00160081" w:rsidRDefault="00160081" w:rsidP="00160081">
      <w:pPr>
        <w:numPr>
          <w:ilvl w:val="0"/>
          <w:numId w:val="47"/>
        </w:numPr>
        <w:tabs>
          <w:tab w:val="clear" w:pos="-219"/>
          <w:tab w:val="num" w:pos="142"/>
        </w:tabs>
        <w:spacing w:after="0" w:line="240" w:lineRule="auto"/>
        <w:ind w:left="142" w:firstLine="0"/>
        <w:jc w:val="both"/>
        <w:rPr>
          <w:rFonts w:cstheme="minorHAnsi"/>
          <w:sz w:val="20"/>
          <w:szCs w:val="20"/>
          <w:lang w:val="es-ES_tradnl"/>
        </w:rPr>
      </w:pPr>
      <w:r w:rsidRPr="00160081">
        <w:rPr>
          <w:rFonts w:cstheme="minorHAnsi"/>
          <w:sz w:val="20"/>
          <w:szCs w:val="20"/>
          <w:lang w:val="es-ES_tradnl"/>
        </w:rPr>
        <w:t>Los artefactos deberán estar alineados con los estándares técnicos, de seguridad, protección de datos y retención documental del SRI.</w:t>
      </w:r>
    </w:p>
    <w:p w14:paraId="04ADBFAE" w14:textId="77777777" w:rsidR="00160081" w:rsidRPr="00160081" w:rsidRDefault="00160081" w:rsidP="00160081">
      <w:pPr>
        <w:rPr>
          <w:rFonts w:cstheme="minorHAnsi"/>
          <w:sz w:val="20"/>
          <w:szCs w:val="20"/>
        </w:rPr>
      </w:pPr>
    </w:p>
    <w:p w14:paraId="189F38D3" w14:textId="77777777" w:rsidR="00160081" w:rsidRPr="00160081" w:rsidRDefault="00160081" w:rsidP="00160081">
      <w:pPr>
        <w:pStyle w:val="Ttulo2"/>
        <w:spacing w:before="0" w:after="0"/>
        <w:rPr>
          <w:rFonts w:asciiTheme="minorHAnsi" w:eastAsia="Times New Roman" w:hAnsiTheme="minorHAnsi" w:cstheme="minorHAnsi"/>
          <w:b/>
          <w:bCs/>
          <w:color w:val="000000" w:themeColor="text1"/>
          <w:sz w:val="20"/>
          <w:szCs w:val="20"/>
        </w:rPr>
      </w:pPr>
      <w:bookmarkStart w:id="129" w:name="_Toc216114240"/>
      <w:bookmarkStart w:id="130" w:name="_Toc217326237"/>
      <w:r w:rsidRPr="00160081">
        <w:rPr>
          <w:rFonts w:asciiTheme="minorHAnsi" w:eastAsia="Times New Roman" w:hAnsiTheme="minorHAnsi" w:cstheme="minorHAnsi"/>
          <w:b/>
          <w:bCs/>
          <w:color w:val="000000" w:themeColor="text1"/>
          <w:sz w:val="20"/>
          <w:szCs w:val="20"/>
        </w:rPr>
        <w:t>9.4.4 Modelo de versionado y trazabilidad</w:t>
      </w:r>
      <w:bookmarkEnd w:id="129"/>
      <w:bookmarkEnd w:id="130"/>
    </w:p>
    <w:p w14:paraId="2F53BC7D" w14:textId="77777777" w:rsidR="00160081" w:rsidRPr="00160081" w:rsidRDefault="00160081" w:rsidP="00160081">
      <w:pPr>
        <w:rPr>
          <w:rFonts w:cstheme="minorHAnsi"/>
          <w:sz w:val="20"/>
          <w:szCs w:val="20"/>
        </w:rPr>
      </w:pPr>
    </w:p>
    <w:p w14:paraId="3A72C5FA" w14:textId="77777777" w:rsidR="00160081" w:rsidRPr="00160081" w:rsidRDefault="00160081" w:rsidP="00160081">
      <w:pPr>
        <w:jc w:val="both"/>
        <w:rPr>
          <w:rFonts w:cstheme="minorHAnsi"/>
          <w:sz w:val="20"/>
          <w:szCs w:val="20"/>
        </w:rPr>
      </w:pPr>
      <w:r w:rsidRPr="00160081">
        <w:rPr>
          <w:rFonts w:cstheme="minorHAnsi"/>
          <w:sz w:val="20"/>
          <w:szCs w:val="20"/>
        </w:rPr>
        <w:t>La suite tecnológica integral para contratar deberá implementar y soportar un modelo institucional de versionado y trazabilidad que permita mantener control total, seguro y auditable sobre los activos clave de la solución, procesos, reglas de negocio, documentos, expedientes, integraciones y configuraciones asociadas. Dicho modelo deberá asegurar que toda evolución de la suite sea gestionada de forma controlada, trazable, reversible y conforme a los estándares institucionales de integración técnica y continuidad operativa.</w:t>
      </w:r>
    </w:p>
    <w:p w14:paraId="0CF517ED" w14:textId="77777777" w:rsidR="00160081" w:rsidRPr="00160081" w:rsidRDefault="00160081" w:rsidP="00160081">
      <w:pPr>
        <w:jc w:val="both"/>
        <w:rPr>
          <w:rFonts w:cstheme="minorHAnsi"/>
          <w:sz w:val="20"/>
          <w:szCs w:val="20"/>
        </w:rPr>
      </w:pPr>
      <w:r w:rsidRPr="00160081">
        <w:rPr>
          <w:rFonts w:cstheme="minorHAnsi"/>
          <w:sz w:val="20"/>
          <w:szCs w:val="20"/>
        </w:rPr>
        <w:t>El contratista deberá garantizar que el modelo de versionado y trazabilidad contemple, como mínimo, los siguientes elementos: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5248"/>
      </w:tblGrid>
      <w:tr w:rsidR="00160081" w:rsidRPr="00160081" w14:paraId="3CCDCF6C" w14:textId="77777777" w:rsidTr="00BD3D91">
        <w:trPr>
          <w:trHeight w:val="320"/>
          <w:tblHeader/>
          <w:jc w:val="center"/>
        </w:trPr>
        <w:tc>
          <w:tcPr>
            <w:tcW w:w="0" w:type="auto"/>
            <w:vAlign w:val="center"/>
            <w:hideMark/>
          </w:tcPr>
          <w:p w14:paraId="6C0CB9A2"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Responsabilidad</w:t>
            </w:r>
          </w:p>
        </w:tc>
        <w:tc>
          <w:tcPr>
            <w:tcW w:w="0" w:type="auto"/>
            <w:vAlign w:val="center"/>
            <w:hideMark/>
          </w:tcPr>
          <w:p w14:paraId="3F3A5B50"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Descripción</w:t>
            </w:r>
          </w:p>
        </w:tc>
      </w:tr>
      <w:tr w:rsidR="00160081" w:rsidRPr="00160081" w14:paraId="55C63448" w14:textId="77777777" w:rsidTr="00BD3D91">
        <w:trPr>
          <w:trHeight w:val="900"/>
          <w:jc w:val="center"/>
        </w:trPr>
        <w:tc>
          <w:tcPr>
            <w:tcW w:w="0" w:type="auto"/>
            <w:vAlign w:val="center"/>
            <w:hideMark/>
          </w:tcPr>
          <w:p w14:paraId="3E9B4763" w14:textId="77777777" w:rsidR="00160081" w:rsidRPr="00160081" w:rsidRDefault="00160081" w:rsidP="00BD3D91">
            <w:pPr>
              <w:rPr>
                <w:rFonts w:cstheme="minorHAnsi"/>
                <w:color w:val="000000"/>
                <w:sz w:val="20"/>
                <w:szCs w:val="20"/>
              </w:rPr>
            </w:pPr>
            <w:r w:rsidRPr="00160081">
              <w:rPr>
                <w:rFonts w:cstheme="minorHAnsi"/>
                <w:color w:val="000000"/>
                <w:sz w:val="20"/>
                <w:szCs w:val="20"/>
              </w:rPr>
              <w:t>1. Implementar el modelo completo de versionado y trazabilidad</w:t>
            </w:r>
          </w:p>
        </w:tc>
        <w:tc>
          <w:tcPr>
            <w:tcW w:w="0" w:type="auto"/>
            <w:vAlign w:val="center"/>
            <w:hideMark/>
          </w:tcPr>
          <w:p w14:paraId="660E830B"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Configurar en la suite mecanismos de control de versiones, trazabilidad, restauración, auditoría y registro histórico para procesos, reglas, documentos, expedientes, integraciones y metadatos.</w:t>
            </w:r>
          </w:p>
        </w:tc>
      </w:tr>
      <w:tr w:rsidR="00160081" w:rsidRPr="00160081" w14:paraId="2F6BFD78" w14:textId="77777777" w:rsidTr="00BD3D91">
        <w:trPr>
          <w:trHeight w:val="900"/>
          <w:jc w:val="center"/>
        </w:trPr>
        <w:tc>
          <w:tcPr>
            <w:tcW w:w="0" w:type="auto"/>
            <w:vAlign w:val="center"/>
            <w:hideMark/>
          </w:tcPr>
          <w:p w14:paraId="2FD08E97" w14:textId="77777777" w:rsidR="00160081" w:rsidRPr="00160081" w:rsidRDefault="00160081" w:rsidP="00BD3D91">
            <w:pPr>
              <w:rPr>
                <w:rFonts w:cstheme="minorHAnsi"/>
                <w:color w:val="000000"/>
                <w:sz w:val="20"/>
                <w:szCs w:val="20"/>
              </w:rPr>
            </w:pPr>
            <w:r w:rsidRPr="00160081">
              <w:rPr>
                <w:rFonts w:cstheme="minorHAnsi"/>
                <w:color w:val="000000"/>
                <w:sz w:val="20"/>
                <w:szCs w:val="20"/>
              </w:rPr>
              <w:t>2. Asegurar identificadores únicos y metadatos completos</w:t>
            </w:r>
          </w:p>
        </w:tc>
        <w:tc>
          <w:tcPr>
            <w:tcW w:w="0" w:type="auto"/>
            <w:vAlign w:val="center"/>
            <w:hideMark/>
          </w:tcPr>
          <w:p w14:paraId="6EFB07ED"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Garantizar que cada activo cuente con metadatos, identificadores únicos y versionado centralizado.</w:t>
            </w:r>
          </w:p>
        </w:tc>
      </w:tr>
      <w:tr w:rsidR="00160081" w:rsidRPr="00160081" w14:paraId="450889BC" w14:textId="77777777" w:rsidTr="00BD3D91">
        <w:trPr>
          <w:trHeight w:val="600"/>
          <w:jc w:val="center"/>
        </w:trPr>
        <w:tc>
          <w:tcPr>
            <w:tcW w:w="0" w:type="auto"/>
            <w:vAlign w:val="center"/>
            <w:hideMark/>
          </w:tcPr>
          <w:p w14:paraId="5CE7AD7F" w14:textId="77777777" w:rsidR="00160081" w:rsidRPr="00160081" w:rsidRDefault="00160081" w:rsidP="00BD3D91">
            <w:pPr>
              <w:rPr>
                <w:rFonts w:cstheme="minorHAnsi"/>
                <w:color w:val="000000"/>
                <w:sz w:val="20"/>
                <w:szCs w:val="20"/>
              </w:rPr>
            </w:pPr>
            <w:r w:rsidRPr="00160081">
              <w:rPr>
                <w:rFonts w:cstheme="minorHAnsi"/>
                <w:color w:val="000000"/>
                <w:sz w:val="20"/>
                <w:szCs w:val="20"/>
              </w:rPr>
              <w:t>3. Habilitar múltiples versiones activas según necesidad operativa</w:t>
            </w:r>
          </w:p>
        </w:tc>
        <w:tc>
          <w:tcPr>
            <w:tcW w:w="0" w:type="auto"/>
            <w:vAlign w:val="center"/>
            <w:hideMark/>
          </w:tcPr>
          <w:p w14:paraId="3EF7D739"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Configurar la suite para permitir la coexistencia de versiones cuando existan transiciones normativas o casos en curso.</w:t>
            </w:r>
          </w:p>
        </w:tc>
      </w:tr>
      <w:tr w:rsidR="00160081" w:rsidRPr="00160081" w14:paraId="43EBB4FC" w14:textId="77777777" w:rsidTr="00BD3D91">
        <w:trPr>
          <w:trHeight w:val="900"/>
          <w:jc w:val="center"/>
        </w:trPr>
        <w:tc>
          <w:tcPr>
            <w:tcW w:w="0" w:type="auto"/>
            <w:vAlign w:val="center"/>
            <w:hideMark/>
          </w:tcPr>
          <w:p w14:paraId="7398DDF1" w14:textId="77777777" w:rsidR="00160081" w:rsidRPr="00160081" w:rsidRDefault="00160081" w:rsidP="00BD3D91">
            <w:pPr>
              <w:rPr>
                <w:rFonts w:cstheme="minorHAnsi"/>
                <w:color w:val="000000"/>
                <w:sz w:val="20"/>
                <w:szCs w:val="20"/>
              </w:rPr>
            </w:pPr>
            <w:r w:rsidRPr="00160081">
              <w:rPr>
                <w:rFonts w:cstheme="minorHAnsi"/>
                <w:color w:val="000000"/>
                <w:sz w:val="20"/>
                <w:szCs w:val="20"/>
              </w:rPr>
              <w:t>4. Conservar versiones históricas para auditoría</w:t>
            </w:r>
          </w:p>
        </w:tc>
        <w:tc>
          <w:tcPr>
            <w:tcW w:w="0" w:type="auto"/>
            <w:vAlign w:val="center"/>
            <w:hideMark/>
          </w:tcPr>
          <w:p w14:paraId="4A874EED"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Habilitar almacenamiento seguro de versiones previas de procesos, reglas, documentos y expedientes, con acceso restringido para auditorías y consultas.</w:t>
            </w:r>
          </w:p>
        </w:tc>
      </w:tr>
      <w:tr w:rsidR="00160081" w:rsidRPr="00160081" w14:paraId="0B57A221" w14:textId="77777777" w:rsidTr="00BD3D91">
        <w:trPr>
          <w:trHeight w:val="900"/>
          <w:jc w:val="center"/>
        </w:trPr>
        <w:tc>
          <w:tcPr>
            <w:tcW w:w="0" w:type="auto"/>
            <w:vAlign w:val="center"/>
            <w:hideMark/>
          </w:tcPr>
          <w:p w14:paraId="448B0E0C" w14:textId="77777777" w:rsidR="00160081" w:rsidRPr="00160081" w:rsidRDefault="00160081" w:rsidP="00BD3D91">
            <w:pPr>
              <w:rPr>
                <w:rFonts w:cstheme="minorHAnsi"/>
                <w:color w:val="000000"/>
                <w:sz w:val="20"/>
                <w:szCs w:val="20"/>
              </w:rPr>
            </w:pPr>
            <w:r w:rsidRPr="00160081">
              <w:rPr>
                <w:rFonts w:cstheme="minorHAnsi"/>
                <w:color w:val="000000"/>
                <w:sz w:val="20"/>
                <w:szCs w:val="20"/>
              </w:rPr>
              <w:t>5. Registrar y auditar todos los cambios</w:t>
            </w:r>
          </w:p>
        </w:tc>
        <w:tc>
          <w:tcPr>
            <w:tcW w:w="0" w:type="auto"/>
            <w:vAlign w:val="center"/>
            <w:hideMark/>
          </w:tcPr>
          <w:p w14:paraId="25A6CEC8"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Implementar registro automático de cambios que incluya responsable, fecha, descripción y motivo del ajuste, así como la vinculación con solicitudes o aprobaciones formales.</w:t>
            </w:r>
          </w:p>
        </w:tc>
      </w:tr>
      <w:tr w:rsidR="00160081" w:rsidRPr="00160081" w14:paraId="46DD1CD8" w14:textId="77777777" w:rsidTr="00BD3D91">
        <w:trPr>
          <w:trHeight w:val="600"/>
          <w:jc w:val="center"/>
        </w:trPr>
        <w:tc>
          <w:tcPr>
            <w:tcW w:w="0" w:type="auto"/>
            <w:vAlign w:val="center"/>
            <w:hideMark/>
          </w:tcPr>
          <w:p w14:paraId="3BF38CCD" w14:textId="77777777" w:rsidR="00160081" w:rsidRPr="00160081" w:rsidRDefault="00160081" w:rsidP="00BD3D91">
            <w:pPr>
              <w:rPr>
                <w:rFonts w:cstheme="minorHAnsi"/>
                <w:color w:val="000000"/>
                <w:sz w:val="20"/>
                <w:szCs w:val="20"/>
              </w:rPr>
            </w:pPr>
            <w:r w:rsidRPr="00160081">
              <w:rPr>
                <w:rFonts w:cstheme="minorHAnsi"/>
                <w:color w:val="000000"/>
                <w:sz w:val="20"/>
                <w:szCs w:val="20"/>
              </w:rPr>
              <w:t>6. Permitir restauración controlada de versiones</w:t>
            </w:r>
          </w:p>
        </w:tc>
        <w:tc>
          <w:tcPr>
            <w:tcW w:w="0" w:type="auto"/>
            <w:vAlign w:val="center"/>
            <w:hideMark/>
          </w:tcPr>
          <w:p w14:paraId="096D72E3"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Configurar la suite para recuperar versiones previas en caso de contingencias o necesidad de reversión planificada.</w:t>
            </w:r>
          </w:p>
        </w:tc>
      </w:tr>
      <w:tr w:rsidR="00160081" w:rsidRPr="00160081" w14:paraId="6060DF84" w14:textId="77777777" w:rsidTr="00BD3D91">
        <w:trPr>
          <w:trHeight w:val="600"/>
          <w:jc w:val="center"/>
        </w:trPr>
        <w:tc>
          <w:tcPr>
            <w:tcW w:w="0" w:type="auto"/>
            <w:vAlign w:val="center"/>
            <w:hideMark/>
          </w:tcPr>
          <w:p w14:paraId="2BA87505" w14:textId="77777777" w:rsidR="00160081" w:rsidRPr="00160081" w:rsidRDefault="00160081" w:rsidP="00BD3D91">
            <w:pPr>
              <w:rPr>
                <w:rFonts w:cstheme="minorHAnsi"/>
                <w:color w:val="000000"/>
                <w:sz w:val="20"/>
                <w:szCs w:val="20"/>
              </w:rPr>
            </w:pPr>
            <w:r w:rsidRPr="00160081">
              <w:rPr>
                <w:rFonts w:cstheme="minorHAnsi"/>
                <w:color w:val="000000"/>
                <w:sz w:val="20"/>
                <w:szCs w:val="20"/>
              </w:rPr>
              <w:t>7. Soportar comparación de versiones de reglas y procesos</w:t>
            </w:r>
          </w:p>
        </w:tc>
        <w:tc>
          <w:tcPr>
            <w:tcW w:w="0" w:type="auto"/>
            <w:vAlign w:val="center"/>
            <w:hideMark/>
          </w:tcPr>
          <w:p w14:paraId="789DFF87"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Proveer herramientas para comparar versiones de procesos y reglas, identificando cambios funcionales, técnicos o normativos.</w:t>
            </w:r>
          </w:p>
        </w:tc>
      </w:tr>
      <w:tr w:rsidR="00160081" w:rsidRPr="00160081" w14:paraId="3FB11E6E" w14:textId="77777777" w:rsidTr="00BD3D91">
        <w:trPr>
          <w:trHeight w:val="600"/>
          <w:jc w:val="center"/>
        </w:trPr>
        <w:tc>
          <w:tcPr>
            <w:tcW w:w="0" w:type="auto"/>
            <w:vAlign w:val="center"/>
            <w:hideMark/>
          </w:tcPr>
          <w:p w14:paraId="7F6BC65B" w14:textId="77777777" w:rsidR="00160081" w:rsidRPr="00160081" w:rsidRDefault="00160081" w:rsidP="00BD3D91">
            <w:pPr>
              <w:rPr>
                <w:rFonts w:cstheme="minorHAnsi"/>
                <w:color w:val="000000"/>
                <w:sz w:val="20"/>
                <w:szCs w:val="20"/>
              </w:rPr>
            </w:pPr>
            <w:r w:rsidRPr="00160081">
              <w:rPr>
                <w:rFonts w:cstheme="minorHAnsi"/>
                <w:color w:val="000000"/>
                <w:sz w:val="20"/>
                <w:szCs w:val="20"/>
              </w:rPr>
              <w:t>8. Asegurar versionado de artefactos documentales y metadatos</w:t>
            </w:r>
          </w:p>
        </w:tc>
        <w:tc>
          <w:tcPr>
            <w:tcW w:w="0" w:type="auto"/>
            <w:vAlign w:val="center"/>
            <w:hideMark/>
          </w:tcPr>
          <w:p w14:paraId="64A5977A"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Implementar control de versiones de tipos documentales, plantillas de expedientes y estructuras de metadatos con trazabilidad completa.</w:t>
            </w:r>
          </w:p>
        </w:tc>
      </w:tr>
      <w:tr w:rsidR="00160081" w:rsidRPr="00160081" w14:paraId="27904F6E" w14:textId="77777777" w:rsidTr="00BD3D91">
        <w:trPr>
          <w:trHeight w:val="600"/>
          <w:jc w:val="center"/>
        </w:trPr>
        <w:tc>
          <w:tcPr>
            <w:tcW w:w="0" w:type="auto"/>
            <w:vAlign w:val="center"/>
            <w:hideMark/>
          </w:tcPr>
          <w:p w14:paraId="08E92626" w14:textId="77777777" w:rsidR="00160081" w:rsidRPr="00160081" w:rsidRDefault="00160081" w:rsidP="00BD3D91">
            <w:pPr>
              <w:rPr>
                <w:rFonts w:cstheme="minorHAnsi"/>
                <w:color w:val="000000"/>
                <w:sz w:val="20"/>
                <w:szCs w:val="20"/>
              </w:rPr>
            </w:pPr>
            <w:r w:rsidRPr="00160081">
              <w:rPr>
                <w:rFonts w:cstheme="minorHAnsi"/>
                <w:color w:val="000000"/>
                <w:sz w:val="20"/>
                <w:szCs w:val="20"/>
              </w:rPr>
              <w:t>9. Integrar la suite con repositorios institucionales</w:t>
            </w:r>
          </w:p>
        </w:tc>
        <w:tc>
          <w:tcPr>
            <w:tcW w:w="0" w:type="auto"/>
            <w:vAlign w:val="center"/>
            <w:hideMark/>
          </w:tcPr>
          <w:p w14:paraId="73693E84"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Garantizar que los activos de configuración queden almacenados en repositorios institucionales y sujetos a control de accesos y auditorías.</w:t>
            </w:r>
          </w:p>
        </w:tc>
      </w:tr>
      <w:tr w:rsidR="00160081" w:rsidRPr="00160081" w14:paraId="5C1755D4" w14:textId="77777777" w:rsidTr="00BD3D91">
        <w:trPr>
          <w:trHeight w:val="600"/>
          <w:jc w:val="center"/>
        </w:trPr>
        <w:tc>
          <w:tcPr>
            <w:tcW w:w="0" w:type="auto"/>
            <w:vAlign w:val="center"/>
            <w:hideMark/>
          </w:tcPr>
          <w:p w14:paraId="66440401" w14:textId="77777777" w:rsidR="00160081" w:rsidRPr="00160081" w:rsidRDefault="00160081" w:rsidP="00BD3D91">
            <w:pPr>
              <w:rPr>
                <w:rFonts w:cstheme="minorHAnsi"/>
                <w:color w:val="000000"/>
                <w:sz w:val="20"/>
                <w:szCs w:val="20"/>
              </w:rPr>
            </w:pPr>
            <w:r w:rsidRPr="00160081">
              <w:rPr>
                <w:rFonts w:cstheme="minorHAnsi"/>
                <w:color w:val="000000"/>
                <w:sz w:val="20"/>
                <w:szCs w:val="20"/>
              </w:rPr>
              <w:t>10. Configurar reportes de auditoría integrados</w:t>
            </w:r>
          </w:p>
        </w:tc>
        <w:tc>
          <w:tcPr>
            <w:tcW w:w="0" w:type="auto"/>
            <w:vAlign w:val="center"/>
            <w:hideMark/>
          </w:tcPr>
          <w:p w14:paraId="5A5A7A6C" w14:textId="77777777" w:rsidR="00160081" w:rsidRPr="00160081" w:rsidRDefault="00160081" w:rsidP="00BD3D91">
            <w:pPr>
              <w:jc w:val="both"/>
              <w:rPr>
                <w:rFonts w:cstheme="minorHAnsi"/>
                <w:color w:val="000000"/>
                <w:sz w:val="20"/>
                <w:szCs w:val="20"/>
              </w:rPr>
            </w:pPr>
            <w:r w:rsidRPr="00160081">
              <w:rPr>
                <w:rFonts w:cstheme="minorHAnsi"/>
                <w:color w:val="000000"/>
                <w:sz w:val="20"/>
                <w:szCs w:val="20"/>
              </w:rPr>
              <w:t>Habilitar mecanismos de auditoría que generen reportes automáticos sobre cambios, versiones, ejecuciones de reglas y liberaciones.</w:t>
            </w:r>
          </w:p>
        </w:tc>
      </w:tr>
      <w:tr w:rsidR="00160081" w:rsidRPr="00160081" w14:paraId="6F93ECC6" w14:textId="77777777" w:rsidTr="00BD3D91">
        <w:trPr>
          <w:trHeight w:val="600"/>
          <w:jc w:val="center"/>
        </w:trPr>
        <w:tc>
          <w:tcPr>
            <w:tcW w:w="0" w:type="auto"/>
            <w:vAlign w:val="center"/>
            <w:hideMark/>
          </w:tcPr>
          <w:p w14:paraId="064482A1" w14:textId="77777777" w:rsidR="00160081" w:rsidRPr="00160081" w:rsidRDefault="00160081" w:rsidP="00BD3D91">
            <w:pPr>
              <w:rPr>
                <w:rFonts w:cstheme="minorHAnsi"/>
                <w:color w:val="000000"/>
                <w:sz w:val="20"/>
                <w:szCs w:val="20"/>
              </w:rPr>
            </w:pPr>
            <w:r w:rsidRPr="00160081">
              <w:rPr>
                <w:rFonts w:cstheme="minorHAnsi"/>
                <w:color w:val="000000"/>
                <w:sz w:val="20"/>
                <w:szCs w:val="20"/>
              </w:rPr>
              <w:t>11. Alinear el modelo de versiones al control de cambios institucional</w:t>
            </w:r>
          </w:p>
        </w:tc>
        <w:tc>
          <w:tcPr>
            <w:tcW w:w="0" w:type="auto"/>
            <w:vAlign w:val="center"/>
            <w:hideMark/>
          </w:tcPr>
          <w:p w14:paraId="0D542173" w14:textId="77777777" w:rsidR="00160081" w:rsidRPr="00160081" w:rsidRDefault="00160081" w:rsidP="00BD3D91">
            <w:pPr>
              <w:jc w:val="both"/>
              <w:rPr>
                <w:rFonts w:cstheme="minorHAnsi"/>
                <w:color w:val="000000"/>
                <w:sz w:val="20"/>
                <w:szCs w:val="20"/>
              </w:rPr>
            </w:pPr>
            <w:proofErr w:type="gramStart"/>
            <w:r w:rsidRPr="00160081">
              <w:rPr>
                <w:rFonts w:cstheme="minorHAnsi"/>
                <w:color w:val="000000"/>
                <w:sz w:val="20"/>
                <w:szCs w:val="20"/>
              </w:rPr>
              <w:t>Asegurar</w:t>
            </w:r>
            <w:proofErr w:type="gramEnd"/>
            <w:r w:rsidRPr="00160081">
              <w:rPr>
                <w:rFonts w:cstheme="minorHAnsi"/>
                <w:color w:val="000000"/>
                <w:sz w:val="20"/>
                <w:szCs w:val="20"/>
              </w:rPr>
              <w:t xml:space="preserve"> que ninguna modificación pueda liberarse en producción sin pasar por los flujos de aprobación definidos por el SRI.</w:t>
            </w:r>
          </w:p>
        </w:tc>
      </w:tr>
      <w:tr w:rsidR="00160081" w:rsidRPr="00160081" w14:paraId="714FB228" w14:textId="77777777" w:rsidTr="00BD3D91">
        <w:trPr>
          <w:trHeight w:val="900"/>
          <w:jc w:val="center"/>
        </w:trPr>
        <w:tc>
          <w:tcPr>
            <w:tcW w:w="0" w:type="auto"/>
            <w:vAlign w:val="center"/>
            <w:hideMark/>
          </w:tcPr>
          <w:p w14:paraId="18EF6A62" w14:textId="77777777" w:rsidR="00160081" w:rsidRPr="00160081" w:rsidRDefault="00160081" w:rsidP="00BD3D91">
            <w:pPr>
              <w:rPr>
                <w:rFonts w:cstheme="minorHAnsi"/>
                <w:color w:val="000000"/>
                <w:sz w:val="20"/>
                <w:szCs w:val="20"/>
              </w:rPr>
            </w:pPr>
            <w:r w:rsidRPr="00160081">
              <w:rPr>
                <w:rFonts w:cstheme="minorHAnsi"/>
                <w:color w:val="000000"/>
                <w:sz w:val="20"/>
                <w:szCs w:val="20"/>
              </w:rPr>
              <w:t>12. Transferir conocimiento al SRI en administración de versiones</w:t>
            </w:r>
          </w:p>
        </w:tc>
        <w:tc>
          <w:tcPr>
            <w:tcW w:w="0" w:type="auto"/>
            <w:vAlign w:val="center"/>
            <w:hideMark/>
          </w:tcPr>
          <w:p w14:paraId="33D0EE38" w14:textId="77777777" w:rsidR="00160081" w:rsidRPr="00160081" w:rsidRDefault="00160081" w:rsidP="00BD3D91">
            <w:pPr>
              <w:jc w:val="both"/>
              <w:rPr>
                <w:rFonts w:cstheme="minorHAnsi"/>
                <w:color w:val="000000"/>
                <w:sz w:val="20"/>
                <w:szCs w:val="20"/>
              </w:rPr>
            </w:pPr>
            <w:bookmarkStart w:id="131" w:name="OLE_LINK39"/>
            <w:r w:rsidRPr="00160081">
              <w:rPr>
                <w:rFonts w:cstheme="minorHAnsi"/>
                <w:color w:val="000000"/>
                <w:sz w:val="20"/>
                <w:szCs w:val="20"/>
              </w:rPr>
              <w:t xml:space="preserve">Transferir conocimiento </w:t>
            </w:r>
            <w:bookmarkEnd w:id="131"/>
            <w:r w:rsidRPr="00160081">
              <w:rPr>
                <w:rFonts w:cstheme="minorHAnsi"/>
                <w:color w:val="000000"/>
                <w:sz w:val="20"/>
                <w:szCs w:val="20"/>
              </w:rPr>
              <w:t>especializado sobre gestión de versiones, restauración, auditoría, trazabilidad y buenas prácticas aplicables al ciclo de vida de la suite.</w:t>
            </w:r>
          </w:p>
        </w:tc>
      </w:tr>
    </w:tbl>
    <w:p w14:paraId="1972A43E" w14:textId="77777777" w:rsidR="00160081" w:rsidRPr="00160081" w:rsidRDefault="00160081" w:rsidP="00160081">
      <w:pPr>
        <w:rPr>
          <w:rFonts w:cstheme="minorHAnsi"/>
          <w:sz w:val="20"/>
          <w:szCs w:val="20"/>
        </w:rPr>
      </w:pPr>
    </w:p>
    <w:p w14:paraId="2F33E2EA" w14:textId="77777777" w:rsidR="00160081" w:rsidRPr="00160081" w:rsidRDefault="00160081" w:rsidP="00160081">
      <w:pPr>
        <w:pStyle w:val="Ttulo2"/>
        <w:numPr>
          <w:ilvl w:val="0"/>
          <w:numId w:val="132"/>
        </w:numPr>
        <w:tabs>
          <w:tab w:val="num" w:pos="720"/>
        </w:tabs>
        <w:spacing w:before="0" w:after="0"/>
        <w:ind w:left="720"/>
        <w:rPr>
          <w:rFonts w:asciiTheme="minorHAnsi" w:eastAsia="Times New Roman" w:hAnsiTheme="minorHAnsi" w:cstheme="minorHAnsi"/>
          <w:b/>
          <w:bCs/>
          <w:color w:val="000000" w:themeColor="text1"/>
          <w:sz w:val="20"/>
          <w:szCs w:val="20"/>
        </w:rPr>
      </w:pPr>
      <w:bookmarkStart w:id="132" w:name="_Toc216114239"/>
      <w:bookmarkStart w:id="133" w:name="_Toc217326236"/>
      <w:r w:rsidRPr="00160081">
        <w:rPr>
          <w:rFonts w:asciiTheme="minorHAnsi" w:eastAsia="Times New Roman" w:hAnsiTheme="minorHAnsi" w:cstheme="minorHAnsi"/>
          <w:b/>
          <w:bCs/>
          <w:color w:val="000000" w:themeColor="text1"/>
          <w:sz w:val="20"/>
          <w:szCs w:val="20"/>
        </w:rPr>
        <w:t xml:space="preserve"> Criterios de aceptación</w:t>
      </w:r>
      <w:bookmarkEnd w:id="132"/>
      <w:bookmarkEnd w:id="133"/>
    </w:p>
    <w:p w14:paraId="749504FE" w14:textId="77777777" w:rsidR="00160081" w:rsidRPr="00160081" w:rsidRDefault="00160081" w:rsidP="00160081">
      <w:pPr>
        <w:jc w:val="both"/>
        <w:rPr>
          <w:rFonts w:cstheme="minorHAnsi"/>
          <w:sz w:val="20"/>
          <w:szCs w:val="20"/>
        </w:rPr>
      </w:pPr>
    </w:p>
    <w:p w14:paraId="13ED8A40" w14:textId="77777777" w:rsidR="00160081" w:rsidRPr="00160081" w:rsidRDefault="00160081" w:rsidP="00160081">
      <w:pPr>
        <w:jc w:val="both"/>
        <w:rPr>
          <w:rFonts w:cstheme="minorHAnsi"/>
          <w:sz w:val="20"/>
          <w:szCs w:val="20"/>
        </w:rPr>
      </w:pPr>
      <w:r w:rsidRPr="00160081">
        <w:rPr>
          <w:rFonts w:cstheme="minorHAnsi"/>
          <w:sz w:val="20"/>
          <w:szCs w:val="20"/>
        </w:rPr>
        <w:t>Los criterios de aceptación constituyen las condiciones mínimas, obligatorias y verificables que el contratista deberá cumplir para que cada entregable sea recibido, revisado y aprobado por el SRI. Ningún entregable será considerado aceptado si no cumple de manera íntegra los criterios establecidos en esta sección.</w:t>
      </w:r>
    </w:p>
    <w:p w14:paraId="3A537C3F" w14:textId="77777777" w:rsidR="00160081" w:rsidRPr="00160081" w:rsidRDefault="00160081" w:rsidP="00160081">
      <w:pPr>
        <w:jc w:val="both"/>
        <w:rPr>
          <w:rFonts w:cstheme="minorHAnsi"/>
          <w:sz w:val="20"/>
          <w:szCs w:val="20"/>
        </w:rPr>
      </w:pPr>
      <w:r w:rsidRPr="00160081">
        <w:rPr>
          <w:rFonts w:cstheme="minorHAnsi"/>
          <w:sz w:val="20"/>
          <w:szCs w:val="20"/>
        </w:rPr>
        <w:t>El contratista deberá presentar evidencia técnica, funcional y documental suficiente para demostrar el cumplimiento de cada criterio, incluyendo artefactos de diseño, configuraciones, registros de pruebas, resultados, documentación y cualquier otro insumo requerido por el SRI.</w:t>
      </w:r>
    </w:p>
    <w:p w14:paraId="302B53B7" w14:textId="77777777" w:rsidR="00160081" w:rsidRPr="00160081" w:rsidRDefault="00160081" w:rsidP="00160081">
      <w:pPr>
        <w:jc w:val="both"/>
        <w:rPr>
          <w:rFonts w:cstheme="minorHAnsi"/>
          <w:sz w:val="20"/>
          <w:szCs w:val="20"/>
        </w:rPr>
      </w:pPr>
      <w:r w:rsidRPr="00160081">
        <w:rPr>
          <w:rFonts w:cstheme="minorHAnsi"/>
          <w:sz w:val="20"/>
          <w:szCs w:val="20"/>
        </w:rPr>
        <w:t>La verificación será realizada por el SRI y podrá incluir revisiones documentales, validaciones técnicas, pruebas en ambientes controlados, demostraciones funcionales, contrastación contra los requerimientos contractuales y auditorías de configuración o código cuando aplique.</w:t>
      </w:r>
    </w:p>
    <w:p w14:paraId="2A47E40E" w14:textId="77777777" w:rsidR="00160081" w:rsidRPr="00160081" w:rsidRDefault="00160081" w:rsidP="00160081">
      <w:pPr>
        <w:jc w:val="both"/>
        <w:rPr>
          <w:rFonts w:cstheme="minorHAnsi"/>
          <w:sz w:val="20"/>
          <w:szCs w:val="20"/>
        </w:rPr>
      </w:pPr>
      <w:r w:rsidRPr="00160081">
        <w:rPr>
          <w:rFonts w:cstheme="minorHAnsi"/>
          <w:sz w:val="20"/>
          <w:szCs w:val="20"/>
        </w:rPr>
        <w:t>La siguiente tabla detalla los criterios de aceptación aplicables a cada categoría de entregable y define las condiciones mínimas que el contratista deberá satisfacer para su aprobación:</w:t>
      </w:r>
    </w:p>
    <w:p w14:paraId="2304B47F" w14:textId="77777777" w:rsidR="00160081" w:rsidRPr="00160081" w:rsidRDefault="00160081" w:rsidP="00160081">
      <w:pPr>
        <w:jc w:val="both"/>
        <w:rPr>
          <w:rFonts w:cstheme="minorHAnsi"/>
          <w:sz w:val="20"/>
          <w:szCs w:val="20"/>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6260"/>
      </w:tblGrid>
      <w:tr w:rsidR="00160081" w:rsidRPr="00160081" w14:paraId="26B0345A" w14:textId="77777777" w:rsidTr="00616507">
        <w:trPr>
          <w:trHeight w:val="300"/>
          <w:tblHeader/>
          <w:jc w:val="center"/>
        </w:trPr>
        <w:tc>
          <w:tcPr>
            <w:tcW w:w="0" w:type="auto"/>
            <w:noWrap/>
            <w:vAlign w:val="center"/>
            <w:hideMark/>
          </w:tcPr>
          <w:p w14:paraId="068D2396"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Tipo de Entregable</w:t>
            </w:r>
          </w:p>
        </w:tc>
        <w:tc>
          <w:tcPr>
            <w:tcW w:w="6260" w:type="dxa"/>
            <w:noWrap/>
            <w:vAlign w:val="center"/>
            <w:hideMark/>
          </w:tcPr>
          <w:p w14:paraId="6F9AF4DA"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Criterios de aceptación</w:t>
            </w:r>
          </w:p>
        </w:tc>
      </w:tr>
      <w:tr w:rsidR="00160081" w:rsidRPr="00160081" w14:paraId="3585D025" w14:textId="77777777" w:rsidTr="00616507">
        <w:trPr>
          <w:trHeight w:val="1550"/>
          <w:jc w:val="center"/>
        </w:trPr>
        <w:tc>
          <w:tcPr>
            <w:tcW w:w="0" w:type="auto"/>
            <w:vAlign w:val="center"/>
            <w:hideMark/>
          </w:tcPr>
          <w:p w14:paraId="50D51C90" w14:textId="77777777" w:rsidR="00160081" w:rsidRPr="00160081" w:rsidRDefault="00160081" w:rsidP="00BD3D91">
            <w:pPr>
              <w:rPr>
                <w:rFonts w:cstheme="minorHAnsi"/>
                <w:color w:val="000000"/>
                <w:sz w:val="20"/>
                <w:szCs w:val="20"/>
              </w:rPr>
            </w:pPr>
            <w:r w:rsidRPr="00160081">
              <w:rPr>
                <w:rFonts w:cstheme="minorHAnsi"/>
                <w:color w:val="000000"/>
                <w:sz w:val="20"/>
                <w:szCs w:val="20"/>
              </w:rPr>
              <w:t>Documentación técnica</w:t>
            </w:r>
          </w:p>
        </w:tc>
        <w:tc>
          <w:tcPr>
            <w:tcW w:w="6260" w:type="dxa"/>
            <w:vAlign w:val="center"/>
            <w:hideMark/>
          </w:tcPr>
          <w:p w14:paraId="1AB59F2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Entregado en los formatos requeridos. </w:t>
            </w:r>
          </w:p>
          <w:p w14:paraId="44A8332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Contiene el 100% de los componentes definidos en el alcance del proyecto. </w:t>
            </w:r>
          </w:p>
          <w:p w14:paraId="03C0172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Describe configuraciones reales implementadas, no referencias genéricas. </w:t>
            </w:r>
          </w:p>
          <w:p w14:paraId="7B45B3F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Consistencia con la arquitectura aprobada y con los requerimientos técnicos/no funcionales. </w:t>
            </w:r>
          </w:p>
          <w:p w14:paraId="3C15374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Versionado y trazabilidad conforme a lineamientos del proyecto. </w:t>
            </w:r>
          </w:p>
          <w:p w14:paraId="14F5D1F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Validación formal del equipo técnico del SRI.</w:t>
            </w:r>
          </w:p>
        </w:tc>
      </w:tr>
      <w:tr w:rsidR="00160081" w:rsidRPr="00160081" w14:paraId="65565439" w14:textId="77777777" w:rsidTr="00616507">
        <w:trPr>
          <w:trHeight w:val="1259"/>
          <w:jc w:val="center"/>
        </w:trPr>
        <w:tc>
          <w:tcPr>
            <w:tcW w:w="0" w:type="auto"/>
            <w:vAlign w:val="center"/>
            <w:hideMark/>
          </w:tcPr>
          <w:p w14:paraId="698EF13B" w14:textId="77777777" w:rsidR="00160081" w:rsidRPr="00160081" w:rsidRDefault="00160081" w:rsidP="00BD3D91">
            <w:pPr>
              <w:rPr>
                <w:rFonts w:cstheme="minorHAnsi"/>
                <w:color w:val="000000"/>
                <w:sz w:val="20"/>
                <w:szCs w:val="20"/>
              </w:rPr>
            </w:pPr>
            <w:r w:rsidRPr="00160081">
              <w:rPr>
                <w:rFonts w:cstheme="minorHAnsi"/>
                <w:color w:val="000000"/>
                <w:sz w:val="20"/>
                <w:szCs w:val="20"/>
              </w:rPr>
              <w:t>Diseño funcional y técnico de casos de uso</w:t>
            </w:r>
          </w:p>
          <w:p w14:paraId="2BC963D0" w14:textId="77777777" w:rsidR="00160081" w:rsidRPr="00160081" w:rsidRDefault="00160081" w:rsidP="00BD3D91">
            <w:pPr>
              <w:rPr>
                <w:rFonts w:cstheme="minorHAnsi"/>
                <w:color w:val="000000"/>
                <w:sz w:val="20"/>
                <w:szCs w:val="20"/>
              </w:rPr>
            </w:pPr>
          </w:p>
        </w:tc>
        <w:tc>
          <w:tcPr>
            <w:tcW w:w="6260" w:type="dxa"/>
            <w:vAlign w:val="center"/>
            <w:hideMark/>
          </w:tcPr>
          <w:p w14:paraId="6806F44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Cumple el estándar BPMN 2.0 / DMN 1.3 según corresponda. </w:t>
            </w:r>
          </w:p>
          <w:p w14:paraId="6DD75B0E"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Incluye flujos completos, reglas, metadatos, integraciones y excepciones. </w:t>
            </w:r>
          </w:p>
          <w:p w14:paraId="79CD188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Compatible con los lineamientos de integración y gobernanza y ciclo de vida de artefactos. </w:t>
            </w:r>
          </w:p>
          <w:p w14:paraId="4C33CBC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Trazabilidad con requerimientos funcionales y no funcionales. </w:t>
            </w:r>
          </w:p>
          <w:p w14:paraId="7A1DD3E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Validación sin observaciones pendientes.</w:t>
            </w:r>
          </w:p>
        </w:tc>
      </w:tr>
      <w:tr w:rsidR="00160081" w:rsidRPr="00160081" w14:paraId="343E956C" w14:textId="77777777" w:rsidTr="00616507">
        <w:trPr>
          <w:trHeight w:val="1136"/>
          <w:jc w:val="center"/>
        </w:trPr>
        <w:tc>
          <w:tcPr>
            <w:tcW w:w="0" w:type="auto"/>
            <w:vAlign w:val="center"/>
            <w:hideMark/>
          </w:tcPr>
          <w:p w14:paraId="3BEA07B7"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Instalación y configuración de ambientes</w:t>
            </w:r>
          </w:p>
        </w:tc>
        <w:tc>
          <w:tcPr>
            <w:tcW w:w="6260" w:type="dxa"/>
            <w:vAlign w:val="center"/>
            <w:hideMark/>
          </w:tcPr>
          <w:p w14:paraId="1C36DEB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Instalación completa conforme a guías, scripts y procedimientos entregados. </w:t>
            </w:r>
          </w:p>
          <w:p w14:paraId="000B915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Ambientes aislados y operativos según especificaciones. </w:t>
            </w:r>
          </w:p>
          <w:p w14:paraId="56D27AA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Compatibilidad con infraestructura </w:t>
            </w:r>
            <w:proofErr w:type="spellStart"/>
            <w:r w:rsidRPr="00160081">
              <w:rPr>
                <w:rFonts w:cstheme="minorHAnsi"/>
                <w:color w:val="000000"/>
                <w:sz w:val="20"/>
                <w:szCs w:val="20"/>
              </w:rPr>
              <w:t>on</w:t>
            </w:r>
            <w:proofErr w:type="spellEnd"/>
            <w:r w:rsidRPr="00160081">
              <w:rPr>
                <w:rFonts w:cstheme="minorHAnsi"/>
                <w:color w:val="000000"/>
                <w:sz w:val="20"/>
                <w:szCs w:val="20"/>
              </w:rPr>
              <w:t xml:space="preserve">-premise del SRI verificada. </w:t>
            </w:r>
          </w:p>
          <w:p w14:paraId="63B9767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Configuraciones de seguridad aplicadas. </w:t>
            </w:r>
          </w:p>
          <w:p w14:paraId="5D03D55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Pruebas técnicas de verificación exitosas.</w:t>
            </w:r>
          </w:p>
          <w:p w14:paraId="771BE6A2" w14:textId="77777777" w:rsidR="00160081" w:rsidRPr="00160081" w:rsidRDefault="00160081" w:rsidP="00160081">
            <w:pPr>
              <w:pStyle w:val="Prrafodelista"/>
              <w:numPr>
                <w:ilvl w:val="0"/>
                <w:numId w:val="113"/>
              </w:numPr>
              <w:spacing w:after="0" w:line="240" w:lineRule="auto"/>
              <w:ind w:left="196" w:hanging="196"/>
              <w:rPr>
                <w:rFonts w:cstheme="minorHAnsi"/>
                <w:color w:val="000000"/>
                <w:sz w:val="20"/>
                <w:szCs w:val="20"/>
              </w:rPr>
            </w:pPr>
            <w:r w:rsidRPr="00160081">
              <w:rPr>
                <w:rFonts w:cstheme="minorHAnsi"/>
                <w:color w:val="000000"/>
                <w:sz w:val="20"/>
                <w:szCs w:val="20"/>
              </w:rPr>
              <w:t>Validación de monitoreo de la plataforma base de SW y HW base y servicios</w:t>
            </w:r>
          </w:p>
          <w:p w14:paraId="046BBD02" w14:textId="77777777" w:rsidR="00160081" w:rsidRPr="00160081" w:rsidRDefault="00160081" w:rsidP="00160081">
            <w:pPr>
              <w:pStyle w:val="Prrafodelista"/>
              <w:numPr>
                <w:ilvl w:val="0"/>
                <w:numId w:val="113"/>
              </w:numPr>
              <w:spacing w:after="0" w:line="240" w:lineRule="auto"/>
              <w:ind w:left="196" w:hanging="196"/>
              <w:rPr>
                <w:rFonts w:cstheme="minorHAnsi"/>
                <w:color w:val="000000"/>
                <w:sz w:val="20"/>
                <w:szCs w:val="20"/>
              </w:rPr>
            </w:pPr>
            <w:r w:rsidRPr="00160081">
              <w:rPr>
                <w:rFonts w:cstheme="minorHAnsi"/>
                <w:color w:val="000000"/>
                <w:sz w:val="20"/>
                <w:szCs w:val="20"/>
              </w:rPr>
              <w:t xml:space="preserve">Validación del monitoreo de logs </w:t>
            </w:r>
          </w:p>
        </w:tc>
      </w:tr>
      <w:tr w:rsidR="00160081" w:rsidRPr="00160081" w14:paraId="1A09A58D" w14:textId="77777777" w:rsidTr="00616507">
        <w:trPr>
          <w:trHeight w:val="1138"/>
          <w:jc w:val="center"/>
        </w:trPr>
        <w:tc>
          <w:tcPr>
            <w:tcW w:w="0" w:type="auto"/>
            <w:vAlign w:val="center"/>
            <w:hideMark/>
          </w:tcPr>
          <w:p w14:paraId="5FF723B4" w14:textId="77777777" w:rsidR="00160081" w:rsidRPr="00160081" w:rsidRDefault="00160081" w:rsidP="00BD3D91">
            <w:pPr>
              <w:rPr>
                <w:rFonts w:cstheme="minorHAnsi"/>
                <w:color w:val="000000"/>
                <w:sz w:val="20"/>
                <w:szCs w:val="20"/>
              </w:rPr>
            </w:pPr>
            <w:r w:rsidRPr="00160081">
              <w:rPr>
                <w:rFonts w:cstheme="minorHAnsi"/>
                <w:color w:val="000000"/>
                <w:sz w:val="20"/>
                <w:szCs w:val="20"/>
              </w:rPr>
              <w:t>Parametrización inicial de la suite y casos de uso base</w:t>
            </w:r>
          </w:p>
        </w:tc>
        <w:tc>
          <w:tcPr>
            <w:tcW w:w="6260" w:type="dxa"/>
            <w:vAlign w:val="center"/>
            <w:hideMark/>
          </w:tcPr>
          <w:p w14:paraId="2721979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Parametrización funcional operativa sin requerir desarrollo adicional. </w:t>
            </w:r>
          </w:p>
          <w:p w14:paraId="4EC0741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Casos de uso implementados, probados y funcionando de extremo a extremo. </w:t>
            </w:r>
          </w:p>
          <w:p w14:paraId="483244B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Reglas, procesos y documentos integrados conforme a modelos aprobados. </w:t>
            </w:r>
          </w:p>
          <w:p w14:paraId="4B83CAD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Cumplimiento de tiempos de respuesta.</w:t>
            </w:r>
          </w:p>
        </w:tc>
      </w:tr>
      <w:tr w:rsidR="00160081" w:rsidRPr="00160081" w14:paraId="43AB4097" w14:textId="77777777" w:rsidTr="00616507">
        <w:trPr>
          <w:trHeight w:val="1280"/>
          <w:jc w:val="center"/>
        </w:trPr>
        <w:tc>
          <w:tcPr>
            <w:tcW w:w="0" w:type="auto"/>
            <w:vAlign w:val="center"/>
            <w:hideMark/>
          </w:tcPr>
          <w:p w14:paraId="7F20C6F8"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Integraciones</w:t>
            </w:r>
          </w:p>
        </w:tc>
        <w:tc>
          <w:tcPr>
            <w:tcW w:w="6260" w:type="dxa"/>
            <w:vAlign w:val="center"/>
            <w:hideMark/>
          </w:tcPr>
          <w:p w14:paraId="277E1381"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w:t>
            </w:r>
            <w:proofErr w:type="spellStart"/>
            <w:r w:rsidRPr="00160081">
              <w:rPr>
                <w:rFonts w:cstheme="minorHAnsi"/>
                <w:color w:val="000000"/>
                <w:sz w:val="20"/>
                <w:szCs w:val="20"/>
              </w:rPr>
              <w:t>APIs</w:t>
            </w:r>
            <w:proofErr w:type="spellEnd"/>
            <w:r w:rsidRPr="00160081">
              <w:rPr>
                <w:rFonts w:cstheme="minorHAnsi"/>
                <w:color w:val="000000"/>
                <w:sz w:val="20"/>
                <w:szCs w:val="20"/>
              </w:rPr>
              <w:t xml:space="preserve"> documentadas en </w:t>
            </w:r>
            <w:proofErr w:type="spellStart"/>
            <w:r w:rsidRPr="00160081">
              <w:rPr>
                <w:rFonts w:cstheme="minorHAnsi"/>
                <w:color w:val="000000"/>
                <w:sz w:val="20"/>
                <w:szCs w:val="20"/>
              </w:rPr>
              <w:t>OpenAPI</w:t>
            </w:r>
            <w:proofErr w:type="spellEnd"/>
            <w:r w:rsidRPr="00160081">
              <w:rPr>
                <w:rFonts w:cstheme="minorHAnsi"/>
                <w:color w:val="000000"/>
                <w:sz w:val="20"/>
                <w:szCs w:val="20"/>
              </w:rPr>
              <w:t xml:space="preserve">/Swagger. </w:t>
            </w:r>
          </w:p>
          <w:p w14:paraId="2ABEF5A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Latencia de integraciones menor 3s. </w:t>
            </w:r>
          </w:p>
          <w:p w14:paraId="7AE2236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Manejo de errores, reintentos y colas persistentes implementado. </w:t>
            </w:r>
          </w:p>
          <w:p w14:paraId="507571F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Conectores probados con sistemas institucionales. </w:t>
            </w:r>
          </w:p>
          <w:p w14:paraId="44A3316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Validación técnica con el SRI sin fallas funcionales.</w:t>
            </w:r>
          </w:p>
        </w:tc>
      </w:tr>
      <w:tr w:rsidR="00160081" w:rsidRPr="00160081" w14:paraId="53A5B23F" w14:textId="77777777" w:rsidTr="00616507">
        <w:trPr>
          <w:trHeight w:val="818"/>
          <w:jc w:val="center"/>
        </w:trPr>
        <w:tc>
          <w:tcPr>
            <w:tcW w:w="0" w:type="auto"/>
            <w:vAlign w:val="center"/>
            <w:hideMark/>
          </w:tcPr>
          <w:p w14:paraId="1BD9CA95"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Pruebas técnicas</w:t>
            </w:r>
          </w:p>
        </w:tc>
        <w:tc>
          <w:tcPr>
            <w:tcW w:w="6260" w:type="dxa"/>
            <w:vAlign w:val="center"/>
            <w:hideMark/>
          </w:tcPr>
          <w:p w14:paraId="0D3D74E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Ejecución conforme a plan aprobado. </w:t>
            </w:r>
          </w:p>
          <w:p w14:paraId="09BB3D7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Resultados dentro de las métricas contractuales. </w:t>
            </w:r>
          </w:p>
          <w:p w14:paraId="6F315C10" w14:textId="77777777" w:rsidR="00160081" w:rsidRPr="00160081" w:rsidRDefault="00160081" w:rsidP="00BD3D91">
            <w:pPr>
              <w:rPr>
                <w:rFonts w:cstheme="minorHAnsi"/>
                <w:color w:val="000000"/>
                <w:sz w:val="20"/>
                <w:szCs w:val="20"/>
              </w:rPr>
            </w:pPr>
            <w:r w:rsidRPr="00160081">
              <w:rPr>
                <w:rFonts w:cstheme="minorHAnsi"/>
                <w:color w:val="000000"/>
                <w:sz w:val="20"/>
                <w:szCs w:val="20"/>
              </w:rPr>
              <w:t>• Remediación completa de hallazgos críticos y altos.</w:t>
            </w:r>
          </w:p>
        </w:tc>
      </w:tr>
      <w:tr w:rsidR="00160081" w:rsidRPr="00160081" w14:paraId="741459BE" w14:textId="77777777" w:rsidTr="00616507">
        <w:trPr>
          <w:trHeight w:val="844"/>
          <w:jc w:val="center"/>
        </w:trPr>
        <w:tc>
          <w:tcPr>
            <w:tcW w:w="0" w:type="auto"/>
            <w:vAlign w:val="center"/>
            <w:hideMark/>
          </w:tcPr>
          <w:p w14:paraId="16B3EC09"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Pruebas de aceptación funcional (UAT)</w:t>
            </w:r>
          </w:p>
        </w:tc>
        <w:tc>
          <w:tcPr>
            <w:tcW w:w="6260" w:type="dxa"/>
            <w:vAlign w:val="center"/>
            <w:hideMark/>
          </w:tcPr>
          <w:p w14:paraId="0F72E43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Ejecución del 100% de los casos de prueba definidos. </w:t>
            </w:r>
          </w:p>
          <w:p w14:paraId="45AB099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Ninguna incidencia crítica o alta abierta. </w:t>
            </w:r>
          </w:p>
          <w:p w14:paraId="4D9BFBB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Incidencias medias resueltas o con plan aprobado.</w:t>
            </w:r>
          </w:p>
        </w:tc>
      </w:tr>
      <w:tr w:rsidR="00160081" w:rsidRPr="00160081" w14:paraId="5DC93CC1" w14:textId="77777777" w:rsidTr="00616507">
        <w:trPr>
          <w:trHeight w:val="960"/>
          <w:jc w:val="center"/>
        </w:trPr>
        <w:tc>
          <w:tcPr>
            <w:tcW w:w="0" w:type="auto"/>
            <w:vAlign w:val="center"/>
            <w:hideMark/>
          </w:tcPr>
          <w:p w14:paraId="4BC3CC0D" w14:textId="77777777" w:rsidR="00160081" w:rsidRPr="00160081" w:rsidRDefault="00160081" w:rsidP="00BD3D91">
            <w:pPr>
              <w:rPr>
                <w:rFonts w:cstheme="minorHAnsi"/>
                <w:color w:val="000000"/>
                <w:sz w:val="20"/>
                <w:szCs w:val="20"/>
              </w:rPr>
            </w:pPr>
            <w:r w:rsidRPr="00160081">
              <w:rPr>
                <w:rFonts w:cstheme="minorHAnsi"/>
                <w:color w:val="000000"/>
                <w:sz w:val="20"/>
                <w:szCs w:val="20"/>
              </w:rPr>
              <w:t>Transferencia de conocimiento especializada</w:t>
            </w:r>
          </w:p>
        </w:tc>
        <w:tc>
          <w:tcPr>
            <w:tcW w:w="6260" w:type="dxa"/>
            <w:vAlign w:val="center"/>
            <w:hideMark/>
          </w:tcPr>
          <w:p w14:paraId="3177FCA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Entrega de manuales y guías completas. </w:t>
            </w:r>
          </w:p>
          <w:p w14:paraId="63240B53"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Sesiones prácticas verificadas por asistencia o evaluaciones. </w:t>
            </w:r>
          </w:p>
          <w:p w14:paraId="78D350A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Demostración de autonomía del SRI en parametrización, administración y operación.</w:t>
            </w:r>
          </w:p>
        </w:tc>
      </w:tr>
      <w:tr w:rsidR="00160081" w:rsidRPr="00160081" w14:paraId="01FE18CF" w14:textId="77777777" w:rsidTr="00616507">
        <w:trPr>
          <w:trHeight w:val="960"/>
          <w:jc w:val="center"/>
        </w:trPr>
        <w:tc>
          <w:tcPr>
            <w:tcW w:w="0" w:type="auto"/>
            <w:vAlign w:val="center"/>
            <w:hideMark/>
          </w:tcPr>
          <w:p w14:paraId="0C2C9328" w14:textId="77777777" w:rsidR="00160081" w:rsidRPr="00160081" w:rsidRDefault="00160081" w:rsidP="00BD3D91">
            <w:pPr>
              <w:rPr>
                <w:rFonts w:cstheme="minorHAnsi"/>
                <w:color w:val="000000"/>
                <w:sz w:val="20"/>
                <w:szCs w:val="20"/>
              </w:rPr>
            </w:pPr>
            <w:r w:rsidRPr="00160081">
              <w:rPr>
                <w:rFonts w:cstheme="minorHAnsi"/>
                <w:color w:val="000000"/>
                <w:sz w:val="20"/>
                <w:szCs w:val="20"/>
              </w:rPr>
              <w:t>Soporte técnico y activación del servicio</w:t>
            </w:r>
          </w:p>
        </w:tc>
        <w:tc>
          <w:tcPr>
            <w:tcW w:w="6260" w:type="dxa"/>
            <w:vAlign w:val="center"/>
            <w:hideMark/>
          </w:tcPr>
          <w:p w14:paraId="25160D3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Activación del soporte de fábrica documentada. </w:t>
            </w:r>
          </w:p>
          <w:p w14:paraId="5A06E7B4"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Registro de procedimientos de escalamiento y atención. </w:t>
            </w:r>
          </w:p>
          <w:p w14:paraId="55F3B89C" w14:textId="77777777" w:rsidR="00160081" w:rsidRPr="00160081" w:rsidRDefault="00160081" w:rsidP="00BD3D91">
            <w:pPr>
              <w:rPr>
                <w:rFonts w:cstheme="minorHAnsi"/>
                <w:color w:val="000000"/>
                <w:sz w:val="20"/>
                <w:szCs w:val="20"/>
              </w:rPr>
            </w:pPr>
            <w:r w:rsidRPr="00160081">
              <w:rPr>
                <w:rFonts w:cstheme="minorHAnsi"/>
                <w:color w:val="000000"/>
                <w:sz w:val="20"/>
                <w:szCs w:val="20"/>
              </w:rPr>
              <w:t>• Evidencia de operatividad de los canales de soporte.</w:t>
            </w:r>
          </w:p>
        </w:tc>
      </w:tr>
      <w:tr w:rsidR="00160081" w:rsidRPr="00160081" w14:paraId="68F9D54A" w14:textId="77777777" w:rsidTr="00616507">
        <w:trPr>
          <w:trHeight w:val="1025"/>
          <w:jc w:val="center"/>
        </w:trPr>
        <w:tc>
          <w:tcPr>
            <w:tcW w:w="0" w:type="auto"/>
            <w:vAlign w:val="center"/>
            <w:hideMark/>
          </w:tcPr>
          <w:p w14:paraId="0C0A7267"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Entrega final y puesta en producción</w:t>
            </w:r>
          </w:p>
        </w:tc>
        <w:tc>
          <w:tcPr>
            <w:tcW w:w="6260" w:type="dxa"/>
            <w:vAlign w:val="center"/>
            <w:hideMark/>
          </w:tcPr>
          <w:p w14:paraId="07D38B8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Plataforma operativa en todos los módulos. </w:t>
            </w:r>
          </w:p>
          <w:p w14:paraId="599D582F"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Monitoreo en tiempo real activo. </w:t>
            </w:r>
          </w:p>
          <w:p w14:paraId="044CE7F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Auditorías habilitadas y trazabilidad completa. </w:t>
            </w:r>
          </w:p>
          <w:p w14:paraId="156B6FA2"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 Criterios de seguridad y cumplimiento normativo verificados. </w:t>
            </w:r>
          </w:p>
          <w:p w14:paraId="55A6543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Aprobación formal del SRI mediante acta.</w:t>
            </w:r>
          </w:p>
        </w:tc>
      </w:tr>
    </w:tbl>
    <w:p w14:paraId="537855C4" w14:textId="77777777" w:rsidR="00160081" w:rsidRPr="00160081" w:rsidRDefault="00160081" w:rsidP="00160081">
      <w:pPr>
        <w:rPr>
          <w:rFonts w:cstheme="minorHAnsi"/>
          <w:sz w:val="20"/>
          <w:szCs w:val="20"/>
        </w:rPr>
      </w:pPr>
    </w:p>
    <w:p w14:paraId="4A7F30E5" w14:textId="77777777" w:rsidR="00160081" w:rsidRPr="00160081" w:rsidRDefault="00160081" w:rsidP="00160081">
      <w:pPr>
        <w:rPr>
          <w:rFonts w:cstheme="minorHAnsi"/>
          <w:sz w:val="20"/>
          <w:szCs w:val="20"/>
        </w:rPr>
      </w:pPr>
    </w:p>
    <w:p w14:paraId="0C83A23A"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134" w:name="_Toc217326238"/>
      <w:r w:rsidRPr="00160081">
        <w:rPr>
          <w:rFonts w:asciiTheme="minorHAnsi" w:eastAsia="Times New Roman" w:hAnsiTheme="minorHAnsi" w:cstheme="minorHAnsi"/>
          <w:b/>
          <w:bCs/>
          <w:color w:val="auto"/>
          <w:sz w:val="20"/>
          <w:szCs w:val="20"/>
        </w:rPr>
        <w:t>Glosario de términos</w:t>
      </w:r>
      <w:bookmarkEnd w:id="134"/>
    </w:p>
    <w:p w14:paraId="30F3472A" w14:textId="77777777" w:rsidR="00160081" w:rsidRPr="00160081" w:rsidRDefault="00160081" w:rsidP="00160081">
      <w:pPr>
        <w:jc w:val="both"/>
        <w:rPr>
          <w:rFonts w:eastAsia="Avenir Book" w:cstheme="minorHAnsi"/>
          <w:color w:val="000000" w:themeColor="text1"/>
          <w:sz w:val="20"/>
          <w:szCs w:val="20"/>
        </w:rPr>
      </w:pPr>
    </w:p>
    <w:p w14:paraId="7FFDE3A8" w14:textId="77777777" w:rsidR="00160081" w:rsidRPr="00160081" w:rsidRDefault="00160081" w:rsidP="00160081">
      <w:pPr>
        <w:jc w:val="both"/>
        <w:rPr>
          <w:rFonts w:eastAsia="Avenir Book" w:cstheme="minorHAnsi"/>
          <w:color w:val="000000" w:themeColor="text1"/>
          <w:sz w:val="20"/>
          <w:szCs w:val="20"/>
        </w:rPr>
      </w:pPr>
      <w:r w:rsidRPr="00160081">
        <w:rPr>
          <w:rFonts w:eastAsia="Avenir Book" w:cstheme="minorHAnsi"/>
          <w:color w:val="000000" w:themeColor="text1"/>
          <w:sz w:val="20"/>
          <w:szCs w:val="20"/>
        </w:rPr>
        <w:t xml:space="preserve">A efectos del presente documento, se establecen las siguientes definiciones con el propósito de unificar criterios terminológicos y técnicos relacionados con el proyecto. </w:t>
      </w:r>
    </w:p>
    <w:p w14:paraId="4A139639" w14:textId="77777777" w:rsidR="00160081" w:rsidRPr="00160081" w:rsidRDefault="00160081" w:rsidP="00160081">
      <w:pPr>
        <w:jc w:val="both"/>
        <w:rPr>
          <w:rFonts w:eastAsia="Avenir Book" w:cstheme="minorHAnsi"/>
          <w:color w:val="000000" w:themeColor="text1"/>
          <w:sz w:val="20"/>
          <w:szCs w:val="20"/>
        </w:rPr>
      </w:pPr>
    </w:p>
    <w:p w14:paraId="6C76DBA6" w14:textId="77777777" w:rsidR="00160081" w:rsidRPr="00160081" w:rsidRDefault="00160081" w:rsidP="00160081">
      <w:pPr>
        <w:jc w:val="both"/>
        <w:rPr>
          <w:rFonts w:cstheme="minorHAnsi"/>
          <w:sz w:val="20"/>
          <w:szCs w:val="20"/>
        </w:rPr>
      </w:pPr>
      <w:r w:rsidRPr="00160081">
        <w:rPr>
          <w:rFonts w:eastAsia="Avenir Book" w:cstheme="minorHAnsi"/>
          <w:color w:val="000000" w:themeColor="text1"/>
          <w:sz w:val="20"/>
          <w:szCs w:val="20"/>
        </w:rPr>
        <w:t>Estas definiciones son de aplicación obligatoria para la interpretación y ejecución de los requerimientos contenidos en este documento:</w:t>
      </w:r>
    </w:p>
    <w:p w14:paraId="26D5726E" w14:textId="77777777" w:rsidR="00160081" w:rsidRPr="00160081" w:rsidRDefault="00160081" w:rsidP="00160081">
      <w:pPr>
        <w:jc w:val="both"/>
        <w:outlineLvl w:val="1"/>
        <w:rPr>
          <w:rFonts w:cstheme="minorHAnsi"/>
          <w:sz w:val="20"/>
          <w:szCs w:val="20"/>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6729"/>
      </w:tblGrid>
      <w:tr w:rsidR="00160081" w:rsidRPr="00160081" w14:paraId="34C904D4" w14:textId="77777777" w:rsidTr="00616507">
        <w:trPr>
          <w:trHeight w:val="340"/>
          <w:tblHeader/>
          <w:jc w:val="center"/>
        </w:trPr>
        <w:tc>
          <w:tcPr>
            <w:tcW w:w="0" w:type="auto"/>
            <w:vAlign w:val="center"/>
            <w:hideMark/>
          </w:tcPr>
          <w:p w14:paraId="6593BB01"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Término</w:t>
            </w:r>
          </w:p>
        </w:tc>
        <w:tc>
          <w:tcPr>
            <w:tcW w:w="6729" w:type="dxa"/>
            <w:vAlign w:val="center"/>
            <w:hideMark/>
          </w:tcPr>
          <w:p w14:paraId="6F79F56B" w14:textId="77777777" w:rsidR="00160081" w:rsidRPr="00160081" w:rsidRDefault="00160081" w:rsidP="00BD3D91">
            <w:pPr>
              <w:jc w:val="center"/>
              <w:rPr>
                <w:rFonts w:cstheme="minorHAnsi"/>
                <w:b/>
                <w:bCs/>
                <w:color w:val="000000"/>
                <w:sz w:val="20"/>
                <w:szCs w:val="20"/>
              </w:rPr>
            </w:pPr>
            <w:r w:rsidRPr="00160081">
              <w:rPr>
                <w:rFonts w:cstheme="minorHAnsi"/>
                <w:b/>
                <w:bCs/>
                <w:color w:val="000000"/>
                <w:sz w:val="20"/>
                <w:szCs w:val="20"/>
              </w:rPr>
              <w:t>Definición</w:t>
            </w:r>
          </w:p>
        </w:tc>
      </w:tr>
      <w:tr w:rsidR="00160081" w:rsidRPr="00160081" w14:paraId="270AC1AC" w14:textId="77777777" w:rsidTr="00616507">
        <w:trPr>
          <w:trHeight w:val="701"/>
          <w:jc w:val="center"/>
        </w:trPr>
        <w:tc>
          <w:tcPr>
            <w:tcW w:w="0" w:type="auto"/>
            <w:vAlign w:val="center"/>
            <w:hideMark/>
          </w:tcPr>
          <w:p w14:paraId="1ECB15B4"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BPMS (</w:t>
            </w:r>
            <w:bookmarkStart w:id="135" w:name="OLE_LINK23"/>
            <w:r w:rsidRPr="00160081">
              <w:rPr>
                <w:rFonts w:cstheme="minorHAnsi"/>
                <w:color w:val="000000"/>
                <w:sz w:val="20"/>
                <w:szCs w:val="20"/>
                <w:lang w:val="en-US"/>
              </w:rPr>
              <w:t>Business Process Management Suite</w:t>
            </w:r>
            <w:bookmarkEnd w:id="135"/>
            <w:r w:rsidRPr="00160081">
              <w:rPr>
                <w:rFonts w:cstheme="minorHAnsi"/>
                <w:color w:val="000000"/>
                <w:sz w:val="20"/>
                <w:szCs w:val="20"/>
                <w:lang w:val="en-US"/>
              </w:rPr>
              <w:t>)</w:t>
            </w:r>
          </w:p>
        </w:tc>
        <w:tc>
          <w:tcPr>
            <w:tcW w:w="6729" w:type="dxa"/>
            <w:vAlign w:val="center"/>
            <w:hideMark/>
          </w:tcPr>
          <w:p w14:paraId="700C6850" w14:textId="77777777" w:rsidR="00160081" w:rsidRPr="00160081" w:rsidRDefault="00160081" w:rsidP="00BD3D91">
            <w:pPr>
              <w:rPr>
                <w:rFonts w:cstheme="minorHAnsi"/>
                <w:color w:val="000000"/>
                <w:sz w:val="20"/>
                <w:szCs w:val="20"/>
              </w:rPr>
            </w:pPr>
            <w:r w:rsidRPr="00160081">
              <w:rPr>
                <w:rFonts w:cstheme="minorHAnsi"/>
                <w:color w:val="000000"/>
                <w:sz w:val="20"/>
                <w:szCs w:val="20"/>
              </w:rPr>
              <w:t>Plataforma tecnológica que permite modelar, ejecutar, monitorear y optimizar procesos de negocio de forma automatizada, utilizando estándares como BPMN 2.0 y motores de ejecución transaccionales.</w:t>
            </w:r>
          </w:p>
        </w:tc>
      </w:tr>
      <w:tr w:rsidR="00160081" w:rsidRPr="00160081" w14:paraId="1A839617" w14:textId="77777777" w:rsidTr="00616507">
        <w:trPr>
          <w:trHeight w:val="680"/>
          <w:jc w:val="center"/>
        </w:trPr>
        <w:tc>
          <w:tcPr>
            <w:tcW w:w="0" w:type="auto"/>
            <w:vAlign w:val="center"/>
            <w:hideMark/>
          </w:tcPr>
          <w:p w14:paraId="62B499A8"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BPMN (Business Process Model and Notation)</w:t>
            </w:r>
          </w:p>
        </w:tc>
        <w:tc>
          <w:tcPr>
            <w:tcW w:w="6729" w:type="dxa"/>
            <w:vAlign w:val="center"/>
            <w:hideMark/>
          </w:tcPr>
          <w:p w14:paraId="4577A862"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Estándar internacional para el modelado de procesos de negocio, utilizado para describir flujos de trabajo, eventos, decisiones y reglas de orquestación de procesos.</w:t>
            </w:r>
          </w:p>
        </w:tc>
      </w:tr>
      <w:tr w:rsidR="00160081" w:rsidRPr="00160081" w14:paraId="1CFDC762" w14:textId="77777777" w:rsidTr="00616507">
        <w:trPr>
          <w:trHeight w:val="862"/>
          <w:jc w:val="center"/>
        </w:trPr>
        <w:tc>
          <w:tcPr>
            <w:tcW w:w="0" w:type="auto"/>
            <w:vAlign w:val="center"/>
            <w:hideMark/>
          </w:tcPr>
          <w:p w14:paraId="4521A5B4" w14:textId="77777777" w:rsidR="00160081" w:rsidRPr="00160081" w:rsidRDefault="00160081" w:rsidP="00BD3D91">
            <w:pPr>
              <w:rPr>
                <w:rFonts w:cstheme="minorHAnsi"/>
                <w:color w:val="000000"/>
                <w:sz w:val="20"/>
                <w:szCs w:val="20"/>
                <w:lang w:val="en-US"/>
              </w:rPr>
            </w:pPr>
            <w:bookmarkStart w:id="136" w:name="OLE_LINK25"/>
            <w:r w:rsidRPr="00160081">
              <w:rPr>
                <w:rFonts w:cstheme="minorHAnsi"/>
                <w:color w:val="000000"/>
                <w:sz w:val="20"/>
                <w:szCs w:val="20"/>
                <w:lang w:val="en-US"/>
              </w:rPr>
              <w:t>BRMS (Business Rules Management System)</w:t>
            </w:r>
            <w:bookmarkEnd w:id="136"/>
          </w:p>
        </w:tc>
        <w:tc>
          <w:tcPr>
            <w:tcW w:w="6729" w:type="dxa"/>
            <w:vAlign w:val="center"/>
            <w:hideMark/>
          </w:tcPr>
          <w:p w14:paraId="36DED0D2"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Sistema de Gestión de Decisiones y Reglas que permite modelar, versionar, ejecutar y auditar reglas de negocio y decisiones automatizadas, usualmente bajo el estándar DMN, sin necesidad de código imperativo.</w:t>
            </w:r>
          </w:p>
        </w:tc>
      </w:tr>
      <w:tr w:rsidR="00160081" w:rsidRPr="00160081" w14:paraId="139395DC" w14:textId="77777777" w:rsidTr="00616507">
        <w:trPr>
          <w:trHeight w:val="680"/>
          <w:jc w:val="center"/>
        </w:trPr>
        <w:tc>
          <w:tcPr>
            <w:tcW w:w="0" w:type="auto"/>
            <w:vAlign w:val="center"/>
            <w:hideMark/>
          </w:tcPr>
          <w:p w14:paraId="4ED6ABD4"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DMN (Decision Model and Notation)</w:t>
            </w:r>
          </w:p>
        </w:tc>
        <w:tc>
          <w:tcPr>
            <w:tcW w:w="6729" w:type="dxa"/>
            <w:vAlign w:val="center"/>
            <w:hideMark/>
          </w:tcPr>
          <w:p w14:paraId="1C8ACAD2"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Estándar para el modelado de decisiones y reglas de negocio mediante tablas de decisión, funciones y expresiones, utilizado por motores BRMS.</w:t>
            </w:r>
          </w:p>
        </w:tc>
      </w:tr>
      <w:tr w:rsidR="00160081" w:rsidRPr="00160081" w14:paraId="6B8DF653" w14:textId="77777777" w:rsidTr="00616507">
        <w:trPr>
          <w:trHeight w:val="545"/>
          <w:jc w:val="center"/>
        </w:trPr>
        <w:tc>
          <w:tcPr>
            <w:tcW w:w="0" w:type="auto"/>
            <w:vAlign w:val="center"/>
            <w:hideMark/>
          </w:tcPr>
          <w:p w14:paraId="1FE8DBE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ECM </w:t>
            </w:r>
            <w:bookmarkStart w:id="137" w:name="OLE_LINK18"/>
            <w:r w:rsidRPr="00160081">
              <w:rPr>
                <w:rFonts w:cstheme="minorHAnsi"/>
                <w:color w:val="000000"/>
                <w:sz w:val="20"/>
                <w:szCs w:val="20"/>
              </w:rPr>
              <w:t>(Enterprise Content Management)</w:t>
            </w:r>
            <w:bookmarkEnd w:id="137"/>
          </w:p>
        </w:tc>
        <w:tc>
          <w:tcPr>
            <w:tcW w:w="6729" w:type="dxa"/>
            <w:vAlign w:val="center"/>
            <w:hideMark/>
          </w:tcPr>
          <w:p w14:paraId="43493BF5"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Plataforma de gestión documental que permite administrar documentos, expedientes electrónicos, metadatos, </w:t>
            </w:r>
            <w:proofErr w:type="spellStart"/>
            <w:r w:rsidRPr="00160081">
              <w:rPr>
                <w:rFonts w:cstheme="minorHAnsi"/>
                <w:color w:val="000000"/>
                <w:sz w:val="20"/>
                <w:szCs w:val="20"/>
              </w:rPr>
              <w:t>versionamiento</w:t>
            </w:r>
            <w:proofErr w:type="spellEnd"/>
            <w:r w:rsidRPr="00160081">
              <w:rPr>
                <w:rFonts w:cstheme="minorHAnsi"/>
                <w:color w:val="000000"/>
                <w:sz w:val="20"/>
                <w:szCs w:val="20"/>
              </w:rPr>
              <w:t>, retención, archivo y auditoría conforme a normativa institucional.</w:t>
            </w:r>
          </w:p>
        </w:tc>
      </w:tr>
      <w:tr w:rsidR="00160081" w:rsidRPr="00160081" w14:paraId="3C0310F0" w14:textId="77777777" w:rsidTr="00616507">
        <w:trPr>
          <w:trHeight w:val="680"/>
          <w:jc w:val="center"/>
        </w:trPr>
        <w:tc>
          <w:tcPr>
            <w:tcW w:w="0" w:type="auto"/>
            <w:vAlign w:val="center"/>
            <w:hideMark/>
          </w:tcPr>
          <w:p w14:paraId="402FC391" w14:textId="77777777" w:rsidR="00160081" w:rsidRPr="00160081" w:rsidRDefault="00160081" w:rsidP="00BD3D91">
            <w:pPr>
              <w:rPr>
                <w:rFonts w:cstheme="minorHAnsi"/>
                <w:color w:val="000000"/>
                <w:sz w:val="20"/>
                <w:szCs w:val="20"/>
              </w:rPr>
            </w:pPr>
            <w:r w:rsidRPr="00160081">
              <w:rPr>
                <w:rFonts w:cstheme="minorHAnsi"/>
                <w:color w:val="000000"/>
                <w:sz w:val="20"/>
                <w:szCs w:val="20"/>
              </w:rPr>
              <w:t>Expediente Electrónico</w:t>
            </w:r>
          </w:p>
        </w:tc>
        <w:tc>
          <w:tcPr>
            <w:tcW w:w="6729" w:type="dxa"/>
            <w:vAlign w:val="center"/>
            <w:hideMark/>
          </w:tcPr>
          <w:p w14:paraId="036E5D6F"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Conjunto estructurado de documentos y metadatos asociados a un trámite o proceso, gestionado por el ECM, con control de versiones, auditoría y reglas de retención.</w:t>
            </w:r>
          </w:p>
        </w:tc>
      </w:tr>
      <w:tr w:rsidR="00160081" w:rsidRPr="00160081" w14:paraId="0F1E0818" w14:textId="77777777" w:rsidTr="00616507">
        <w:trPr>
          <w:trHeight w:val="479"/>
          <w:jc w:val="center"/>
        </w:trPr>
        <w:tc>
          <w:tcPr>
            <w:tcW w:w="0" w:type="auto"/>
            <w:vAlign w:val="center"/>
            <w:hideMark/>
          </w:tcPr>
          <w:p w14:paraId="5CADA811"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On</w:t>
            </w:r>
            <w:proofErr w:type="spellEnd"/>
            <w:r w:rsidRPr="00160081">
              <w:rPr>
                <w:rFonts w:cstheme="minorHAnsi"/>
                <w:color w:val="000000"/>
                <w:sz w:val="20"/>
                <w:szCs w:val="20"/>
              </w:rPr>
              <w:t>-premise</w:t>
            </w:r>
          </w:p>
        </w:tc>
        <w:tc>
          <w:tcPr>
            <w:tcW w:w="6729" w:type="dxa"/>
            <w:vAlign w:val="center"/>
            <w:hideMark/>
          </w:tcPr>
          <w:p w14:paraId="0D158F10" w14:textId="77777777" w:rsidR="00160081" w:rsidRPr="00160081" w:rsidRDefault="00160081" w:rsidP="00BD3D91">
            <w:pPr>
              <w:rPr>
                <w:rFonts w:cstheme="minorHAnsi"/>
                <w:color w:val="000000"/>
                <w:sz w:val="20"/>
                <w:szCs w:val="20"/>
              </w:rPr>
            </w:pPr>
            <w:r w:rsidRPr="00160081">
              <w:rPr>
                <w:rFonts w:cstheme="minorHAnsi"/>
                <w:color w:val="000000"/>
                <w:sz w:val="20"/>
                <w:szCs w:val="20"/>
              </w:rPr>
              <w:t>Modelo de despliegue en el cual la solución se instala y opera en la infraestructura tecnológica del SRI, bajo su control directo.</w:t>
            </w:r>
          </w:p>
        </w:tc>
      </w:tr>
      <w:tr w:rsidR="00160081" w:rsidRPr="00160081" w14:paraId="7BA9BDB0" w14:textId="77777777" w:rsidTr="00616507">
        <w:trPr>
          <w:trHeight w:val="680"/>
          <w:jc w:val="center"/>
        </w:trPr>
        <w:tc>
          <w:tcPr>
            <w:tcW w:w="0" w:type="auto"/>
            <w:vAlign w:val="center"/>
            <w:hideMark/>
          </w:tcPr>
          <w:p w14:paraId="0E294BCD" w14:textId="77777777" w:rsidR="00160081" w:rsidRPr="00160081" w:rsidRDefault="00160081" w:rsidP="00BD3D91">
            <w:pPr>
              <w:rPr>
                <w:rFonts w:cstheme="minorHAnsi"/>
                <w:color w:val="000000"/>
                <w:sz w:val="20"/>
                <w:szCs w:val="20"/>
              </w:rPr>
            </w:pPr>
            <w:r w:rsidRPr="00160081">
              <w:rPr>
                <w:rFonts w:cstheme="minorHAnsi"/>
                <w:color w:val="000000"/>
                <w:sz w:val="20"/>
                <w:szCs w:val="20"/>
              </w:rPr>
              <w:t>Ambientes Aislados</w:t>
            </w:r>
          </w:p>
        </w:tc>
        <w:tc>
          <w:tcPr>
            <w:tcW w:w="6729" w:type="dxa"/>
            <w:vAlign w:val="center"/>
            <w:hideMark/>
          </w:tcPr>
          <w:p w14:paraId="614DAB19" w14:textId="77777777" w:rsidR="00160081" w:rsidRPr="00160081" w:rsidRDefault="00160081" w:rsidP="00BD3D91">
            <w:pPr>
              <w:rPr>
                <w:rFonts w:cstheme="minorHAnsi"/>
                <w:color w:val="000000"/>
                <w:sz w:val="20"/>
                <w:szCs w:val="20"/>
              </w:rPr>
            </w:pPr>
            <w:r w:rsidRPr="00160081">
              <w:rPr>
                <w:rFonts w:cstheme="minorHAnsi"/>
                <w:color w:val="000000"/>
                <w:sz w:val="20"/>
                <w:szCs w:val="20"/>
              </w:rPr>
              <w:t>Separación lógica y/o física de entornos (Desarrollo, Pruebas, Producción y Contingencia) para garantizar control de cambios, estabilidad y seguridad.</w:t>
            </w:r>
          </w:p>
        </w:tc>
      </w:tr>
      <w:tr w:rsidR="00160081" w:rsidRPr="00160081" w14:paraId="7DA932B1" w14:textId="77777777" w:rsidTr="00616507">
        <w:trPr>
          <w:trHeight w:val="425"/>
          <w:jc w:val="center"/>
        </w:trPr>
        <w:tc>
          <w:tcPr>
            <w:tcW w:w="0" w:type="auto"/>
            <w:vAlign w:val="center"/>
            <w:hideMark/>
          </w:tcPr>
          <w:p w14:paraId="39DF0073" w14:textId="77777777" w:rsidR="00160081" w:rsidRPr="00160081" w:rsidRDefault="00160081" w:rsidP="00BD3D91">
            <w:pPr>
              <w:rPr>
                <w:rFonts w:cstheme="minorHAnsi"/>
                <w:color w:val="000000"/>
                <w:sz w:val="20"/>
                <w:szCs w:val="20"/>
              </w:rPr>
            </w:pPr>
            <w:r w:rsidRPr="00160081">
              <w:rPr>
                <w:rFonts w:cstheme="minorHAnsi"/>
                <w:color w:val="000000"/>
                <w:sz w:val="20"/>
                <w:szCs w:val="20"/>
              </w:rPr>
              <w:t>Microservicios</w:t>
            </w:r>
          </w:p>
        </w:tc>
        <w:tc>
          <w:tcPr>
            <w:tcW w:w="6729" w:type="dxa"/>
            <w:vAlign w:val="center"/>
            <w:hideMark/>
          </w:tcPr>
          <w:p w14:paraId="3B210AD4"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Enfoque arquitectónico que descompone la solución en servicios independientes, desplegables y escalables de forma autónoma.</w:t>
            </w:r>
          </w:p>
        </w:tc>
      </w:tr>
      <w:tr w:rsidR="00160081" w:rsidRPr="00160081" w14:paraId="4E53416D" w14:textId="77777777" w:rsidTr="00616507">
        <w:trPr>
          <w:trHeight w:val="403"/>
          <w:jc w:val="center"/>
        </w:trPr>
        <w:tc>
          <w:tcPr>
            <w:tcW w:w="0" w:type="auto"/>
            <w:vAlign w:val="center"/>
            <w:hideMark/>
          </w:tcPr>
          <w:p w14:paraId="5F0A9BAC" w14:textId="77777777" w:rsidR="00160081" w:rsidRPr="00160081" w:rsidRDefault="00160081" w:rsidP="00BD3D91">
            <w:pPr>
              <w:rPr>
                <w:rFonts w:cstheme="minorHAnsi"/>
                <w:color w:val="000000"/>
                <w:sz w:val="20"/>
                <w:szCs w:val="20"/>
              </w:rPr>
            </w:pPr>
            <w:r w:rsidRPr="00160081">
              <w:rPr>
                <w:rFonts w:cstheme="minorHAnsi"/>
                <w:color w:val="000000"/>
                <w:sz w:val="20"/>
                <w:szCs w:val="20"/>
              </w:rPr>
              <w:t>Arquitectura Modular</w:t>
            </w:r>
          </w:p>
        </w:tc>
        <w:tc>
          <w:tcPr>
            <w:tcW w:w="6729" w:type="dxa"/>
            <w:vAlign w:val="center"/>
            <w:hideMark/>
          </w:tcPr>
          <w:p w14:paraId="3502FA90" w14:textId="77777777" w:rsidR="00160081" w:rsidRPr="00160081" w:rsidRDefault="00160081" w:rsidP="00BD3D91">
            <w:pPr>
              <w:rPr>
                <w:rFonts w:cstheme="minorHAnsi"/>
                <w:color w:val="000000"/>
                <w:sz w:val="20"/>
                <w:szCs w:val="20"/>
              </w:rPr>
            </w:pPr>
            <w:r w:rsidRPr="00160081">
              <w:rPr>
                <w:rFonts w:cstheme="minorHAnsi"/>
                <w:color w:val="000000"/>
                <w:sz w:val="20"/>
                <w:szCs w:val="20"/>
              </w:rPr>
              <w:t>Diseño que permite incorporar, reemplazar o escalar componentes de la suite sin rediseños mayores.</w:t>
            </w:r>
          </w:p>
        </w:tc>
      </w:tr>
      <w:tr w:rsidR="00160081" w:rsidRPr="00160081" w14:paraId="542247F5" w14:textId="77777777" w:rsidTr="00616507">
        <w:trPr>
          <w:trHeight w:val="381"/>
          <w:jc w:val="center"/>
        </w:trPr>
        <w:tc>
          <w:tcPr>
            <w:tcW w:w="0" w:type="auto"/>
            <w:vAlign w:val="center"/>
            <w:hideMark/>
          </w:tcPr>
          <w:p w14:paraId="6B01C7A4" w14:textId="77777777" w:rsidR="00160081" w:rsidRPr="00160081" w:rsidRDefault="00160081" w:rsidP="00BD3D91">
            <w:pPr>
              <w:rPr>
                <w:rFonts w:cstheme="minorHAnsi"/>
                <w:color w:val="000000"/>
                <w:sz w:val="20"/>
                <w:szCs w:val="20"/>
              </w:rPr>
            </w:pPr>
            <w:r w:rsidRPr="00160081">
              <w:rPr>
                <w:rFonts w:cstheme="minorHAnsi"/>
                <w:color w:val="000000"/>
                <w:sz w:val="20"/>
                <w:szCs w:val="20"/>
              </w:rPr>
              <w:t>API (</w:t>
            </w:r>
            <w:proofErr w:type="spellStart"/>
            <w:r w:rsidRPr="00160081">
              <w:rPr>
                <w:rFonts w:cstheme="minorHAnsi"/>
                <w:color w:val="000000"/>
                <w:sz w:val="20"/>
                <w:szCs w:val="20"/>
              </w:rPr>
              <w:t>Application</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Programming</w:t>
            </w:r>
            <w:proofErr w:type="spellEnd"/>
            <w:r w:rsidRPr="00160081">
              <w:rPr>
                <w:rFonts w:cstheme="minorHAnsi"/>
                <w:color w:val="000000"/>
                <w:sz w:val="20"/>
                <w:szCs w:val="20"/>
              </w:rPr>
              <w:t xml:space="preserve"> </w:t>
            </w:r>
            <w:proofErr w:type="gramStart"/>
            <w:r w:rsidRPr="00160081">
              <w:rPr>
                <w:rFonts w:cstheme="minorHAnsi"/>
                <w:color w:val="000000"/>
                <w:sz w:val="20"/>
                <w:szCs w:val="20"/>
              </w:rPr>
              <w:t>Interface</w:t>
            </w:r>
            <w:proofErr w:type="gramEnd"/>
            <w:r w:rsidRPr="00160081">
              <w:rPr>
                <w:rFonts w:cstheme="minorHAnsi"/>
                <w:color w:val="000000"/>
                <w:sz w:val="20"/>
                <w:szCs w:val="20"/>
              </w:rPr>
              <w:t>)</w:t>
            </w:r>
          </w:p>
        </w:tc>
        <w:tc>
          <w:tcPr>
            <w:tcW w:w="6729" w:type="dxa"/>
            <w:vAlign w:val="center"/>
            <w:hideMark/>
          </w:tcPr>
          <w:p w14:paraId="3E54BEA3"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Interfaz que permite la comunicación e integración entre sistemas mediante protocolos estándar como REST o SOAP.</w:t>
            </w:r>
          </w:p>
        </w:tc>
      </w:tr>
      <w:tr w:rsidR="00160081" w:rsidRPr="00160081" w14:paraId="11505F17" w14:textId="77777777" w:rsidTr="00616507">
        <w:trPr>
          <w:trHeight w:val="340"/>
          <w:jc w:val="center"/>
        </w:trPr>
        <w:tc>
          <w:tcPr>
            <w:tcW w:w="0" w:type="auto"/>
            <w:vAlign w:val="center"/>
            <w:hideMark/>
          </w:tcPr>
          <w:p w14:paraId="422F6C8D"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REST / </w:t>
            </w:r>
            <w:proofErr w:type="spellStart"/>
            <w:r w:rsidRPr="00160081">
              <w:rPr>
                <w:rFonts w:cstheme="minorHAnsi"/>
                <w:color w:val="000000"/>
                <w:sz w:val="20"/>
                <w:szCs w:val="20"/>
              </w:rPr>
              <w:t>RESTful</w:t>
            </w:r>
            <w:proofErr w:type="spellEnd"/>
          </w:p>
        </w:tc>
        <w:tc>
          <w:tcPr>
            <w:tcW w:w="6729" w:type="dxa"/>
            <w:vAlign w:val="center"/>
            <w:hideMark/>
          </w:tcPr>
          <w:p w14:paraId="3064424D"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Estilo de arquitectura para servicios web basado en HTTP y formatos como JSON.</w:t>
            </w:r>
          </w:p>
        </w:tc>
      </w:tr>
      <w:tr w:rsidR="00160081" w:rsidRPr="00160081" w14:paraId="408AE41C" w14:textId="77777777" w:rsidTr="00616507">
        <w:trPr>
          <w:trHeight w:val="340"/>
          <w:jc w:val="center"/>
        </w:trPr>
        <w:tc>
          <w:tcPr>
            <w:tcW w:w="0" w:type="auto"/>
            <w:vAlign w:val="center"/>
            <w:hideMark/>
          </w:tcPr>
          <w:p w14:paraId="535CA409" w14:textId="77777777" w:rsidR="00160081" w:rsidRPr="00160081" w:rsidRDefault="00160081" w:rsidP="00BD3D91">
            <w:pPr>
              <w:rPr>
                <w:rFonts w:cstheme="minorHAnsi"/>
                <w:color w:val="000000"/>
                <w:sz w:val="20"/>
                <w:szCs w:val="20"/>
              </w:rPr>
            </w:pPr>
            <w:r w:rsidRPr="00160081">
              <w:rPr>
                <w:rFonts w:cstheme="minorHAnsi"/>
                <w:color w:val="000000"/>
                <w:sz w:val="20"/>
                <w:szCs w:val="20"/>
              </w:rPr>
              <w:t>SOAP</w:t>
            </w:r>
          </w:p>
        </w:tc>
        <w:tc>
          <w:tcPr>
            <w:tcW w:w="6729" w:type="dxa"/>
            <w:vAlign w:val="center"/>
            <w:hideMark/>
          </w:tcPr>
          <w:p w14:paraId="240DCD54"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Protocolo estándar para intercambio de mensajes estructurados entre sistemas.</w:t>
            </w:r>
          </w:p>
        </w:tc>
      </w:tr>
      <w:tr w:rsidR="00160081" w:rsidRPr="00160081" w14:paraId="5255F42F" w14:textId="77777777" w:rsidTr="00616507">
        <w:trPr>
          <w:trHeight w:val="474"/>
          <w:jc w:val="center"/>
        </w:trPr>
        <w:tc>
          <w:tcPr>
            <w:tcW w:w="0" w:type="auto"/>
            <w:vAlign w:val="center"/>
            <w:hideMark/>
          </w:tcPr>
          <w:p w14:paraId="2B5DE2C9" w14:textId="77777777" w:rsidR="00160081" w:rsidRPr="00160081" w:rsidRDefault="00160081" w:rsidP="00BD3D91">
            <w:pPr>
              <w:rPr>
                <w:rFonts w:cstheme="minorHAnsi"/>
                <w:color w:val="000000"/>
                <w:sz w:val="20"/>
                <w:szCs w:val="20"/>
              </w:rPr>
            </w:pPr>
            <w:r w:rsidRPr="00160081">
              <w:rPr>
                <w:rFonts w:cstheme="minorHAnsi"/>
                <w:color w:val="000000"/>
                <w:sz w:val="20"/>
                <w:szCs w:val="20"/>
              </w:rPr>
              <w:t>Mensajería</w:t>
            </w:r>
          </w:p>
        </w:tc>
        <w:tc>
          <w:tcPr>
            <w:tcW w:w="6729" w:type="dxa"/>
            <w:vAlign w:val="center"/>
            <w:hideMark/>
          </w:tcPr>
          <w:p w14:paraId="4BD1FFFA" w14:textId="77777777" w:rsidR="00160081" w:rsidRPr="00160081" w:rsidRDefault="00160081" w:rsidP="00BD3D91">
            <w:pPr>
              <w:rPr>
                <w:rFonts w:cstheme="minorHAnsi"/>
                <w:color w:val="000000"/>
                <w:sz w:val="20"/>
                <w:szCs w:val="20"/>
              </w:rPr>
            </w:pPr>
            <w:r w:rsidRPr="00160081">
              <w:rPr>
                <w:rFonts w:cstheme="minorHAnsi"/>
                <w:color w:val="000000"/>
                <w:sz w:val="20"/>
                <w:szCs w:val="20"/>
              </w:rPr>
              <w:t>Mecanismo de integración asincrónica basado en colas, eventos o publicación/suscripción.</w:t>
            </w:r>
          </w:p>
        </w:tc>
      </w:tr>
      <w:tr w:rsidR="00160081" w:rsidRPr="00160081" w14:paraId="6F983751" w14:textId="77777777" w:rsidTr="00616507">
        <w:trPr>
          <w:trHeight w:val="423"/>
          <w:jc w:val="center"/>
        </w:trPr>
        <w:tc>
          <w:tcPr>
            <w:tcW w:w="0" w:type="auto"/>
            <w:vAlign w:val="center"/>
            <w:hideMark/>
          </w:tcPr>
          <w:p w14:paraId="46858B2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SDK (Software </w:t>
            </w:r>
            <w:proofErr w:type="spellStart"/>
            <w:r w:rsidRPr="00160081">
              <w:rPr>
                <w:rFonts w:cstheme="minorHAnsi"/>
                <w:color w:val="000000"/>
                <w:sz w:val="20"/>
                <w:szCs w:val="20"/>
              </w:rPr>
              <w:t>Development</w:t>
            </w:r>
            <w:proofErr w:type="spellEnd"/>
            <w:r w:rsidRPr="00160081">
              <w:rPr>
                <w:rFonts w:cstheme="minorHAnsi"/>
                <w:color w:val="000000"/>
                <w:sz w:val="20"/>
                <w:szCs w:val="20"/>
              </w:rPr>
              <w:t xml:space="preserve"> Kit)</w:t>
            </w:r>
          </w:p>
        </w:tc>
        <w:tc>
          <w:tcPr>
            <w:tcW w:w="6729" w:type="dxa"/>
            <w:vAlign w:val="center"/>
            <w:hideMark/>
          </w:tcPr>
          <w:p w14:paraId="0C3886CE"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Conjunto de herramientas y librerías que permiten desarrollar o extender conectores e integraciones.</w:t>
            </w:r>
          </w:p>
        </w:tc>
      </w:tr>
      <w:tr w:rsidR="00160081" w:rsidRPr="00160081" w14:paraId="2C952493" w14:textId="77777777" w:rsidTr="00616507">
        <w:trPr>
          <w:trHeight w:val="401"/>
          <w:jc w:val="center"/>
        </w:trPr>
        <w:tc>
          <w:tcPr>
            <w:tcW w:w="0" w:type="auto"/>
            <w:vAlign w:val="center"/>
            <w:hideMark/>
          </w:tcPr>
          <w:p w14:paraId="3D8F1E41"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Interoperabilidad</w:t>
            </w:r>
          </w:p>
        </w:tc>
        <w:tc>
          <w:tcPr>
            <w:tcW w:w="6729" w:type="dxa"/>
            <w:vAlign w:val="center"/>
            <w:hideMark/>
          </w:tcPr>
          <w:p w14:paraId="368878F5" w14:textId="77777777" w:rsidR="00160081" w:rsidRPr="00160081" w:rsidRDefault="00160081" w:rsidP="00BD3D91">
            <w:pPr>
              <w:rPr>
                <w:rFonts w:cstheme="minorHAnsi"/>
                <w:color w:val="000000"/>
                <w:sz w:val="20"/>
                <w:szCs w:val="20"/>
              </w:rPr>
            </w:pPr>
            <w:r w:rsidRPr="00160081">
              <w:rPr>
                <w:rFonts w:cstheme="minorHAnsi"/>
                <w:color w:val="000000"/>
                <w:sz w:val="20"/>
                <w:szCs w:val="20"/>
              </w:rPr>
              <w:t>Capacidad de la solución para integrarse con sistemas internos y externos mediante estándares abiertos.</w:t>
            </w:r>
          </w:p>
        </w:tc>
      </w:tr>
      <w:tr w:rsidR="00160081" w:rsidRPr="00160081" w14:paraId="4B09EC43" w14:textId="77777777" w:rsidTr="00616507">
        <w:trPr>
          <w:trHeight w:val="507"/>
          <w:jc w:val="center"/>
        </w:trPr>
        <w:tc>
          <w:tcPr>
            <w:tcW w:w="0" w:type="auto"/>
            <w:vAlign w:val="center"/>
            <w:hideMark/>
          </w:tcPr>
          <w:p w14:paraId="70A8DF82"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DevSecOps</w:t>
            </w:r>
            <w:proofErr w:type="spellEnd"/>
          </w:p>
        </w:tc>
        <w:tc>
          <w:tcPr>
            <w:tcW w:w="6729" w:type="dxa"/>
            <w:vAlign w:val="center"/>
            <w:hideMark/>
          </w:tcPr>
          <w:p w14:paraId="199382B4"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Enfoque que integra desarrollo, seguridad y operación mediante automatización, control de versiones y pipelines.</w:t>
            </w:r>
          </w:p>
        </w:tc>
      </w:tr>
      <w:tr w:rsidR="00160081" w:rsidRPr="00160081" w14:paraId="282CBC89" w14:textId="77777777" w:rsidTr="00616507">
        <w:trPr>
          <w:trHeight w:val="415"/>
          <w:jc w:val="center"/>
        </w:trPr>
        <w:tc>
          <w:tcPr>
            <w:tcW w:w="0" w:type="auto"/>
            <w:vAlign w:val="center"/>
            <w:hideMark/>
          </w:tcPr>
          <w:p w14:paraId="56B99B02"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DataOps</w:t>
            </w:r>
            <w:proofErr w:type="spellEnd"/>
          </w:p>
        </w:tc>
        <w:tc>
          <w:tcPr>
            <w:tcW w:w="6729" w:type="dxa"/>
            <w:vAlign w:val="center"/>
            <w:hideMark/>
          </w:tcPr>
          <w:p w14:paraId="297C7F4F"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Prácticas orientadas a la gestión automatizada, confiable y gobernada de datos en entornos productivos.</w:t>
            </w:r>
          </w:p>
        </w:tc>
      </w:tr>
      <w:tr w:rsidR="00160081" w:rsidRPr="00160081" w14:paraId="028AFF0D" w14:textId="77777777" w:rsidTr="00616507">
        <w:trPr>
          <w:trHeight w:val="393"/>
          <w:jc w:val="center"/>
        </w:trPr>
        <w:tc>
          <w:tcPr>
            <w:tcW w:w="0" w:type="auto"/>
            <w:vAlign w:val="center"/>
            <w:hideMark/>
          </w:tcPr>
          <w:p w14:paraId="5749AE82" w14:textId="77777777" w:rsidR="00160081" w:rsidRPr="00160081" w:rsidRDefault="00160081" w:rsidP="00BD3D91">
            <w:pPr>
              <w:rPr>
                <w:rFonts w:cstheme="minorHAnsi"/>
                <w:color w:val="000000"/>
                <w:sz w:val="20"/>
                <w:szCs w:val="20"/>
              </w:rPr>
            </w:pPr>
            <w:r w:rsidRPr="00160081">
              <w:rPr>
                <w:rFonts w:cstheme="minorHAnsi"/>
                <w:color w:val="000000"/>
                <w:sz w:val="20"/>
                <w:szCs w:val="20"/>
              </w:rPr>
              <w:t>Pipeline</w:t>
            </w:r>
          </w:p>
        </w:tc>
        <w:tc>
          <w:tcPr>
            <w:tcW w:w="6729" w:type="dxa"/>
            <w:vAlign w:val="center"/>
            <w:hideMark/>
          </w:tcPr>
          <w:p w14:paraId="40B889CB" w14:textId="77777777" w:rsidR="00160081" w:rsidRPr="00160081" w:rsidRDefault="00160081" w:rsidP="00BD3D91">
            <w:pPr>
              <w:rPr>
                <w:rFonts w:cstheme="minorHAnsi"/>
                <w:color w:val="000000"/>
                <w:sz w:val="20"/>
                <w:szCs w:val="20"/>
              </w:rPr>
            </w:pPr>
            <w:r w:rsidRPr="00160081">
              <w:rPr>
                <w:rFonts w:cstheme="minorHAnsi"/>
                <w:color w:val="000000"/>
                <w:sz w:val="20"/>
                <w:szCs w:val="20"/>
              </w:rPr>
              <w:t>Flujo automatizado para construcción, pruebas, validación y despliegue de componentes de la solución.</w:t>
            </w:r>
          </w:p>
        </w:tc>
      </w:tr>
      <w:tr w:rsidR="00160081" w:rsidRPr="00160081" w14:paraId="48E3784E" w14:textId="77777777" w:rsidTr="00616507">
        <w:trPr>
          <w:trHeight w:val="514"/>
          <w:jc w:val="center"/>
        </w:trPr>
        <w:tc>
          <w:tcPr>
            <w:tcW w:w="0" w:type="auto"/>
            <w:vAlign w:val="center"/>
            <w:hideMark/>
          </w:tcPr>
          <w:p w14:paraId="296742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Entrega Continua (CI/CD)</w:t>
            </w:r>
          </w:p>
        </w:tc>
        <w:tc>
          <w:tcPr>
            <w:tcW w:w="6729" w:type="dxa"/>
            <w:vAlign w:val="center"/>
            <w:hideMark/>
          </w:tcPr>
          <w:p w14:paraId="795EE77C"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Práctica que permite liberar cambios de forma frecuente, controlada y automatizada entre ambientes.</w:t>
            </w:r>
          </w:p>
        </w:tc>
      </w:tr>
      <w:tr w:rsidR="00160081" w:rsidRPr="00160081" w14:paraId="443DF13F" w14:textId="77777777" w:rsidTr="00616507">
        <w:trPr>
          <w:trHeight w:val="340"/>
          <w:jc w:val="center"/>
        </w:trPr>
        <w:tc>
          <w:tcPr>
            <w:tcW w:w="0" w:type="auto"/>
            <w:vAlign w:val="center"/>
            <w:hideMark/>
          </w:tcPr>
          <w:p w14:paraId="598B36B4" w14:textId="77777777" w:rsidR="00160081" w:rsidRPr="00160081" w:rsidRDefault="00160081" w:rsidP="00BD3D91">
            <w:pPr>
              <w:rPr>
                <w:rFonts w:cstheme="minorHAnsi"/>
                <w:color w:val="000000"/>
                <w:sz w:val="20"/>
                <w:szCs w:val="20"/>
              </w:rPr>
            </w:pPr>
            <w:r w:rsidRPr="00160081">
              <w:rPr>
                <w:rFonts w:cstheme="minorHAnsi"/>
                <w:color w:val="000000"/>
                <w:sz w:val="20"/>
                <w:szCs w:val="20"/>
              </w:rPr>
              <w:t>Parametrización</w:t>
            </w:r>
          </w:p>
        </w:tc>
        <w:tc>
          <w:tcPr>
            <w:tcW w:w="6729" w:type="dxa"/>
            <w:vAlign w:val="center"/>
            <w:hideMark/>
          </w:tcPr>
          <w:p w14:paraId="4CBE8695"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Configuración funcional y técnica de la suite sin necesidad de desarrollo de código.</w:t>
            </w:r>
          </w:p>
        </w:tc>
      </w:tr>
      <w:tr w:rsidR="00160081" w:rsidRPr="00160081" w14:paraId="154D4108" w14:textId="77777777" w:rsidTr="00616507">
        <w:trPr>
          <w:trHeight w:val="340"/>
          <w:jc w:val="center"/>
        </w:trPr>
        <w:tc>
          <w:tcPr>
            <w:tcW w:w="0" w:type="auto"/>
            <w:vAlign w:val="center"/>
            <w:hideMark/>
          </w:tcPr>
          <w:p w14:paraId="175CE60A" w14:textId="77777777" w:rsidR="00160081" w:rsidRPr="00160081" w:rsidRDefault="00160081" w:rsidP="00BD3D91">
            <w:pPr>
              <w:rPr>
                <w:rFonts w:cstheme="minorHAnsi"/>
                <w:color w:val="000000"/>
                <w:sz w:val="20"/>
                <w:szCs w:val="20"/>
              </w:rPr>
            </w:pPr>
            <w:r w:rsidRPr="00160081">
              <w:rPr>
                <w:rFonts w:cstheme="minorHAnsi"/>
                <w:color w:val="000000"/>
                <w:sz w:val="20"/>
                <w:szCs w:val="20"/>
              </w:rPr>
              <w:t>Low-Code / No-Code</w:t>
            </w:r>
          </w:p>
        </w:tc>
        <w:tc>
          <w:tcPr>
            <w:tcW w:w="6729" w:type="dxa"/>
            <w:vAlign w:val="center"/>
            <w:hideMark/>
          </w:tcPr>
          <w:p w14:paraId="61F1D38A"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Enfoque que prioriza configuración y modelado visual sobre programación tradicional.</w:t>
            </w:r>
          </w:p>
        </w:tc>
      </w:tr>
      <w:tr w:rsidR="00160081" w:rsidRPr="00160081" w14:paraId="0B742F55" w14:textId="77777777" w:rsidTr="00616507">
        <w:trPr>
          <w:trHeight w:val="340"/>
          <w:jc w:val="center"/>
        </w:trPr>
        <w:tc>
          <w:tcPr>
            <w:tcW w:w="0" w:type="auto"/>
            <w:vAlign w:val="center"/>
            <w:hideMark/>
          </w:tcPr>
          <w:p w14:paraId="4FC498F6" w14:textId="77777777" w:rsidR="00160081" w:rsidRPr="00160081" w:rsidRDefault="00160081" w:rsidP="00BD3D91">
            <w:pPr>
              <w:rPr>
                <w:rFonts w:cstheme="minorHAnsi"/>
                <w:color w:val="000000"/>
                <w:sz w:val="20"/>
                <w:szCs w:val="20"/>
              </w:rPr>
            </w:pPr>
            <w:r w:rsidRPr="00160081">
              <w:rPr>
                <w:rFonts w:cstheme="minorHAnsi"/>
                <w:color w:val="000000"/>
                <w:sz w:val="20"/>
                <w:szCs w:val="20"/>
              </w:rPr>
              <w:t>RPA (</w:t>
            </w:r>
            <w:proofErr w:type="spellStart"/>
            <w:r w:rsidRPr="00160081">
              <w:rPr>
                <w:rFonts w:cstheme="minorHAnsi"/>
                <w:color w:val="000000"/>
                <w:sz w:val="20"/>
                <w:szCs w:val="20"/>
              </w:rPr>
              <w:t>Robotic</w:t>
            </w:r>
            <w:proofErr w:type="spellEnd"/>
            <w:r w:rsidRPr="00160081">
              <w:rPr>
                <w:rFonts w:cstheme="minorHAnsi"/>
                <w:color w:val="000000"/>
                <w:sz w:val="20"/>
                <w:szCs w:val="20"/>
              </w:rPr>
              <w:t xml:space="preserve"> Process </w:t>
            </w:r>
            <w:proofErr w:type="spellStart"/>
            <w:r w:rsidRPr="00160081">
              <w:rPr>
                <w:rFonts w:cstheme="minorHAnsi"/>
                <w:color w:val="000000"/>
                <w:sz w:val="20"/>
                <w:szCs w:val="20"/>
              </w:rPr>
              <w:t>Automation</w:t>
            </w:r>
            <w:proofErr w:type="spellEnd"/>
            <w:r w:rsidRPr="00160081">
              <w:rPr>
                <w:rFonts w:cstheme="minorHAnsi"/>
                <w:color w:val="000000"/>
                <w:sz w:val="20"/>
                <w:szCs w:val="20"/>
              </w:rPr>
              <w:t>)</w:t>
            </w:r>
          </w:p>
        </w:tc>
        <w:tc>
          <w:tcPr>
            <w:tcW w:w="6729" w:type="dxa"/>
            <w:vAlign w:val="center"/>
            <w:hideMark/>
          </w:tcPr>
          <w:p w14:paraId="442CF307" w14:textId="77777777" w:rsidR="00160081" w:rsidRPr="00160081" w:rsidRDefault="00160081" w:rsidP="00BD3D91">
            <w:pPr>
              <w:rPr>
                <w:rFonts w:cstheme="minorHAnsi"/>
                <w:color w:val="000000"/>
                <w:sz w:val="20"/>
                <w:szCs w:val="20"/>
              </w:rPr>
            </w:pPr>
            <w:r w:rsidRPr="00160081">
              <w:rPr>
                <w:rFonts w:cstheme="minorHAnsi"/>
                <w:color w:val="000000"/>
                <w:sz w:val="20"/>
                <w:szCs w:val="20"/>
              </w:rPr>
              <w:t>Tecnología para automatizar tareas repetitivas mediante robots de software.</w:t>
            </w:r>
          </w:p>
        </w:tc>
      </w:tr>
      <w:tr w:rsidR="00160081" w:rsidRPr="00160081" w14:paraId="286CD3CA" w14:textId="77777777" w:rsidTr="00616507">
        <w:trPr>
          <w:trHeight w:val="483"/>
          <w:jc w:val="center"/>
        </w:trPr>
        <w:tc>
          <w:tcPr>
            <w:tcW w:w="0" w:type="auto"/>
            <w:vAlign w:val="center"/>
            <w:hideMark/>
          </w:tcPr>
          <w:p w14:paraId="034896EA" w14:textId="77777777" w:rsidR="00160081" w:rsidRPr="00160081" w:rsidRDefault="00160081" w:rsidP="00BD3D91">
            <w:pPr>
              <w:rPr>
                <w:rFonts w:cstheme="minorHAnsi"/>
                <w:color w:val="000000"/>
                <w:sz w:val="20"/>
                <w:szCs w:val="20"/>
              </w:rPr>
            </w:pPr>
            <w:r w:rsidRPr="00160081">
              <w:rPr>
                <w:rFonts w:cstheme="minorHAnsi"/>
                <w:color w:val="000000"/>
                <w:sz w:val="20"/>
                <w:szCs w:val="20"/>
              </w:rPr>
              <w:t>OCR (</w:t>
            </w:r>
            <w:proofErr w:type="spellStart"/>
            <w:r w:rsidRPr="00160081">
              <w:rPr>
                <w:rFonts w:cstheme="minorHAnsi"/>
                <w:color w:val="000000"/>
                <w:sz w:val="20"/>
                <w:szCs w:val="20"/>
              </w:rPr>
              <w:t>Optical</w:t>
            </w:r>
            <w:proofErr w:type="spellEnd"/>
            <w:r w:rsidRPr="00160081">
              <w:rPr>
                <w:rFonts w:cstheme="minorHAnsi"/>
                <w:color w:val="000000"/>
                <w:sz w:val="20"/>
                <w:szCs w:val="20"/>
              </w:rPr>
              <w:t xml:space="preserve"> Character </w:t>
            </w:r>
            <w:proofErr w:type="spellStart"/>
            <w:r w:rsidRPr="00160081">
              <w:rPr>
                <w:rFonts w:cstheme="minorHAnsi"/>
                <w:color w:val="000000"/>
                <w:sz w:val="20"/>
                <w:szCs w:val="20"/>
              </w:rPr>
              <w:t>Recognition</w:t>
            </w:r>
            <w:proofErr w:type="spellEnd"/>
            <w:r w:rsidRPr="00160081">
              <w:rPr>
                <w:rFonts w:cstheme="minorHAnsi"/>
                <w:color w:val="000000"/>
                <w:sz w:val="20"/>
                <w:szCs w:val="20"/>
              </w:rPr>
              <w:t>)</w:t>
            </w:r>
          </w:p>
        </w:tc>
        <w:tc>
          <w:tcPr>
            <w:tcW w:w="6729" w:type="dxa"/>
            <w:vAlign w:val="center"/>
            <w:hideMark/>
          </w:tcPr>
          <w:p w14:paraId="12D249FB" w14:textId="77777777" w:rsidR="00160081" w:rsidRPr="00160081" w:rsidRDefault="00160081" w:rsidP="00BD3D91">
            <w:pPr>
              <w:rPr>
                <w:rFonts w:cstheme="minorHAnsi"/>
                <w:color w:val="000000"/>
                <w:sz w:val="20"/>
                <w:szCs w:val="20"/>
              </w:rPr>
            </w:pPr>
            <w:r w:rsidRPr="00160081">
              <w:rPr>
                <w:rFonts w:cstheme="minorHAnsi"/>
                <w:color w:val="000000"/>
                <w:sz w:val="20"/>
                <w:szCs w:val="20"/>
              </w:rPr>
              <w:t>Tecnología que permite reconocer texto en documentos digitalizados para su procesamiento y búsqueda.</w:t>
            </w:r>
          </w:p>
        </w:tc>
      </w:tr>
      <w:tr w:rsidR="00160081" w:rsidRPr="00160081" w14:paraId="19819758" w14:textId="77777777" w:rsidTr="00616507">
        <w:trPr>
          <w:trHeight w:val="419"/>
          <w:jc w:val="center"/>
        </w:trPr>
        <w:tc>
          <w:tcPr>
            <w:tcW w:w="0" w:type="auto"/>
            <w:vAlign w:val="center"/>
            <w:hideMark/>
          </w:tcPr>
          <w:p w14:paraId="7205C04D"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CMIS (Content Management Interoperability Services)</w:t>
            </w:r>
          </w:p>
        </w:tc>
        <w:tc>
          <w:tcPr>
            <w:tcW w:w="6729" w:type="dxa"/>
            <w:vAlign w:val="center"/>
            <w:hideMark/>
          </w:tcPr>
          <w:p w14:paraId="61AF3498"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Estándar para interoperabilidad entre repositorios documentales.</w:t>
            </w:r>
          </w:p>
        </w:tc>
      </w:tr>
      <w:tr w:rsidR="00160081" w:rsidRPr="00160081" w14:paraId="09C1FE5F" w14:textId="77777777" w:rsidTr="00616507">
        <w:trPr>
          <w:trHeight w:val="340"/>
          <w:jc w:val="center"/>
        </w:trPr>
        <w:tc>
          <w:tcPr>
            <w:tcW w:w="0" w:type="auto"/>
            <w:vAlign w:val="center"/>
            <w:hideMark/>
          </w:tcPr>
          <w:p w14:paraId="1B97C291" w14:textId="77777777" w:rsidR="00160081" w:rsidRPr="00160081" w:rsidRDefault="00160081" w:rsidP="00BD3D91">
            <w:pPr>
              <w:rPr>
                <w:rFonts w:cstheme="minorHAnsi"/>
                <w:color w:val="000000"/>
                <w:sz w:val="20"/>
                <w:szCs w:val="20"/>
              </w:rPr>
            </w:pPr>
            <w:r w:rsidRPr="00160081">
              <w:rPr>
                <w:rFonts w:cstheme="minorHAnsi"/>
                <w:color w:val="000000"/>
                <w:sz w:val="20"/>
                <w:szCs w:val="20"/>
              </w:rPr>
              <w:t>WCAG 2.1 AA</w:t>
            </w:r>
          </w:p>
        </w:tc>
        <w:tc>
          <w:tcPr>
            <w:tcW w:w="6729" w:type="dxa"/>
            <w:vAlign w:val="center"/>
            <w:hideMark/>
          </w:tcPr>
          <w:p w14:paraId="281005FA"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Estándar internacional de accesibilidad para interfaces digitales.</w:t>
            </w:r>
          </w:p>
        </w:tc>
      </w:tr>
      <w:tr w:rsidR="00160081" w:rsidRPr="00160081" w14:paraId="4A275C8C" w14:textId="77777777" w:rsidTr="00616507">
        <w:trPr>
          <w:trHeight w:val="340"/>
          <w:jc w:val="center"/>
        </w:trPr>
        <w:tc>
          <w:tcPr>
            <w:tcW w:w="0" w:type="auto"/>
            <w:vAlign w:val="center"/>
            <w:hideMark/>
          </w:tcPr>
          <w:p w14:paraId="72483EF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SLA (Service Level </w:t>
            </w:r>
            <w:proofErr w:type="spellStart"/>
            <w:r w:rsidRPr="00160081">
              <w:rPr>
                <w:rFonts w:cstheme="minorHAnsi"/>
                <w:color w:val="000000"/>
                <w:sz w:val="20"/>
                <w:szCs w:val="20"/>
              </w:rPr>
              <w:t>Agreement</w:t>
            </w:r>
            <w:proofErr w:type="spellEnd"/>
            <w:r w:rsidRPr="00160081">
              <w:rPr>
                <w:rFonts w:cstheme="minorHAnsi"/>
                <w:color w:val="000000"/>
                <w:sz w:val="20"/>
                <w:szCs w:val="20"/>
              </w:rPr>
              <w:t>)</w:t>
            </w:r>
          </w:p>
        </w:tc>
        <w:tc>
          <w:tcPr>
            <w:tcW w:w="6729" w:type="dxa"/>
            <w:vAlign w:val="center"/>
            <w:hideMark/>
          </w:tcPr>
          <w:p w14:paraId="58A4ED10" w14:textId="77777777" w:rsidR="00160081" w:rsidRPr="00160081" w:rsidRDefault="00160081" w:rsidP="00BD3D91">
            <w:pPr>
              <w:rPr>
                <w:rFonts w:cstheme="minorHAnsi"/>
                <w:color w:val="000000"/>
                <w:sz w:val="20"/>
                <w:szCs w:val="20"/>
              </w:rPr>
            </w:pPr>
            <w:r w:rsidRPr="00160081">
              <w:rPr>
                <w:rFonts w:cstheme="minorHAnsi"/>
                <w:color w:val="000000"/>
                <w:sz w:val="20"/>
                <w:szCs w:val="20"/>
              </w:rPr>
              <w:t>Acuerdo contractual que define niveles mínimos de servicio exigibles y penalizables.</w:t>
            </w:r>
          </w:p>
        </w:tc>
      </w:tr>
      <w:tr w:rsidR="00160081" w:rsidRPr="00160081" w14:paraId="1759B969" w14:textId="77777777" w:rsidTr="00616507">
        <w:trPr>
          <w:trHeight w:val="680"/>
          <w:jc w:val="center"/>
        </w:trPr>
        <w:tc>
          <w:tcPr>
            <w:tcW w:w="0" w:type="auto"/>
            <w:vAlign w:val="center"/>
            <w:hideMark/>
          </w:tcPr>
          <w:p w14:paraId="6316499D" w14:textId="77777777" w:rsidR="00160081" w:rsidRPr="00160081" w:rsidRDefault="00160081" w:rsidP="00BD3D91">
            <w:pPr>
              <w:rPr>
                <w:rFonts w:cstheme="minorHAnsi"/>
                <w:color w:val="000000"/>
                <w:sz w:val="20"/>
                <w:szCs w:val="20"/>
              </w:rPr>
            </w:pPr>
            <w:r w:rsidRPr="00160081">
              <w:rPr>
                <w:rFonts w:cstheme="minorHAnsi"/>
                <w:color w:val="000000"/>
                <w:sz w:val="20"/>
                <w:szCs w:val="20"/>
              </w:rPr>
              <w:t>ANS (Acuerdos de Nivel de Servicio)</w:t>
            </w:r>
          </w:p>
        </w:tc>
        <w:tc>
          <w:tcPr>
            <w:tcW w:w="6729" w:type="dxa"/>
            <w:vAlign w:val="center"/>
            <w:hideMark/>
          </w:tcPr>
          <w:p w14:paraId="6912F54F"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Conjunto de métricas contractuales que regulan calidad, disponibilidad, tiempos de atención y desempeño del servicio.</w:t>
            </w:r>
          </w:p>
        </w:tc>
      </w:tr>
      <w:tr w:rsidR="00160081" w:rsidRPr="00160081" w14:paraId="04AC6897" w14:textId="77777777" w:rsidTr="00616507">
        <w:trPr>
          <w:trHeight w:val="340"/>
          <w:jc w:val="center"/>
        </w:trPr>
        <w:tc>
          <w:tcPr>
            <w:tcW w:w="0" w:type="auto"/>
            <w:vAlign w:val="center"/>
            <w:hideMark/>
          </w:tcPr>
          <w:p w14:paraId="682A9F39"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SLO (Service Level </w:t>
            </w:r>
            <w:proofErr w:type="spellStart"/>
            <w:r w:rsidRPr="00160081">
              <w:rPr>
                <w:rFonts w:cstheme="minorHAnsi"/>
                <w:color w:val="000000"/>
                <w:sz w:val="20"/>
                <w:szCs w:val="20"/>
              </w:rPr>
              <w:t>Objective</w:t>
            </w:r>
            <w:proofErr w:type="spellEnd"/>
            <w:r w:rsidRPr="00160081">
              <w:rPr>
                <w:rFonts w:cstheme="minorHAnsi"/>
                <w:color w:val="000000"/>
                <w:sz w:val="20"/>
                <w:szCs w:val="20"/>
              </w:rPr>
              <w:t>)</w:t>
            </w:r>
          </w:p>
        </w:tc>
        <w:tc>
          <w:tcPr>
            <w:tcW w:w="6729" w:type="dxa"/>
            <w:vAlign w:val="center"/>
            <w:hideMark/>
          </w:tcPr>
          <w:p w14:paraId="462B42BF" w14:textId="77777777" w:rsidR="00160081" w:rsidRPr="00160081" w:rsidRDefault="00160081" w:rsidP="00BD3D91">
            <w:pPr>
              <w:rPr>
                <w:rFonts w:cstheme="minorHAnsi"/>
                <w:color w:val="000000"/>
                <w:sz w:val="20"/>
                <w:szCs w:val="20"/>
              </w:rPr>
            </w:pPr>
            <w:r w:rsidRPr="00160081">
              <w:rPr>
                <w:rFonts w:cstheme="minorHAnsi"/>
                <w:color w:val="000000"/>
                <w:sz w:val="20"/>
                <w:szCs w:val="20"/>
              </w:rPr>
              <w:t>Objetivo operativo que define metas internas de desempeño asociadas a un SLA.</w:t>
            </w:r>
          </w:p>
        </w:tc>
      </w:tr>
      <w:tr w:rsidR="00160081" w:rsidRPr="00160081" w14:paraId="040A4EF2" w14:textId="77777777" w:rsidTr="00616507">
        <w:trPr>
          <w:trHeight w:val="340"/>
          <w:jc w:val="center"/>
        </w:trPr>
        <w:tc>
          <w:tcPr>
            <w:tcW w:w="0" w:type="auto"/>
            <w:vAlign w:val="center"/>
            <w:hideMark/>
          </w:tcPr>
          <w:p w14:paraId="65351C1B" w14:textId="77777777" w:rsidR="00160081" w:rsidRPr="00160081" w:rsidRDefault="00160081" w:rsidP="00BD3D91">
            <w:pPr>
              <w:rPr>
                <w:rFonts w:cstheme="minorHAnsi"/>
                <w:color w:val="000000"/>
                <w:sz w:val="20"/>
                <w:szCs w:val="20"/>
              </w:rPr>
            </w:pPr>
            <w:r w:rsidRPr="00160081">
              <w:rPr>
                <w:rFonts w:cstheme="minorHAnsi"/>
                <w:color w:val="000000"/>
                <w:sz w:val="20"/>
                <w:szCs w:val="20"/>
              </w:rPr>
              <w:t>Monitoreo</w:t>
            </w:r>
          </w:p>
        </w:tc>
        <w:tc>
          <w:tcPr>
            <w:tcW w:w="6729" w:type="dxa"/>
            <w:vAlign w:val="center"/>
            <w:hideMark/>
          </w:tcPr>
          <w:p w14:paraId="41841AF0" w14:textId="77777777" w:rsidR="00160081" w:rsidRPr="00160081" w:rsidRDefault="00160081" w:rsidP="00BD3D91">
            <w:pPr>
              <w:rPr>
                <w:rFonts w:cstheme="minorHAnsi"/>
                <w:color w:val="000000"/>
                <w:sz w:val="20"/>
                <w:szCs w:val="20"/>
              </w:rPr>
            </w:pPr>
            <w:r w:rsidRPr="00160081">
              <w:rPr>
                <w:rFonts w:cstheme="minorHAnsi"/>
                <w:color w:val="000000"/>
                <w:sz w:val="20"/>
                <w:szCs w:val="20"/>
              </w:rPr>
              <w:t>Supervisión continua del estado, rendimiento, disponibilidad y salud de la solución.</w:t>
            </w:r>
          </w:p>
        </w:tc>
      </w:tr>
      <w:tr w:rsidR="00160081" w:rsidRPr="00160081" w14:paraId="0DE8D2FB" w14:textId="77777777" w:rsidTr="00616507">
        <w:trPr>
          <w:trHeight w:val="340"/>
          <w:jc w:val="center"/>
        </w:trPr>
        <w:tc>
          <w:tcPr>
            <w:tcW w:w="0" w:type="auto"/>
            <w:vAlign w:val="center"/>
            <w:hideMark/>
          </w:tcPr>
          <w:p w14:paraId="1A8340A8" w14:textId="77777777" w:rsidR="00160081" w:rsidRPr="00160081" w:rsidRDefault="00160081" w:rsidP="00BD3D91">
            <w:pPr>
              <w:rPr>
                <w:rFonts w:cstheme="minorHAnsi"/>
                <w:color w:val="000000"/>
                <w:sz w:val="20"/>
                <w:szCs w:val="20"/>
              </w:rPr>
            </w:pPr>
            <w:proofErr w:type="spellStart"/>
            <w:r w:rsidRPr="00160081">
              <w:rPr>
                <w:rFonts w:cstheme="minorHAnsi"/>
                <w:color w:val="000000"/>
                <w:sz w:val="20"/>
                <w:szCs w:val="20"/>
              </w:rPr>
              <w:t>Dashboards</w:t>
            </w:r>
            <w:proofErr w:type="spellEnd"/>
          </w:p>
        </w:tc>
        <w:tc>
          <w:tcPr>
            <w:tcW w:w="6729" w:type="dxa"/>
            <w:vAlign w:val="center"/>
            <w:hideMark/>
          </w:tcPr>
          <w:p w14:paraId="38541CFC" w14:textId="77777777" w:rsidR="00160081" w:rsidRPr="00160081" w:rsidRDefault="00160081" w:rsidP="00BD3D91">
            <w:pPr>
              <w:rPr>
                <w:rFonts w:cstheme="minorHAnsi"/>
                <w:color w:val="000000"/>
                <w:sz w:val="20"/>
                <w:szCs w:val="20"/>
              </w:rPr>
            </w:pPr>
            <w:r w:rsidRPr="00160081">
              <w:rPr>
                <w:rFonts w:cstheme="minorHAnsi"/>
                <w:color w:val="000000"/>
                <w:sz w:val="20"/>
                <w:szCs w:val="20"/>
              </w:rPr>
              <w:t>Paneles visuales que presentan métricas técnicas y funcionales en tiempo real.</w:t>
            </w:r>
          </w:p>
        </w:tc>
      </w:tr>
      <w:tr w:rsidR="00160081" w:rsidRPr="00160081" w14:paraId="3FCF9C7D" w14:textId="77777777" w:rsidTr="00616507">
        <w:trPr>
          <w:trHeight w:val="537"/>
          <w:jc w:val="center"/>
        </w:trPr>
        <w:tc>
          <w:tcPr>
            <w:tcW w:w="0" w:type="auto"/>
            <w:vAlign w:val="center"/>
            <w:hideMark/>
          </w:tcPr>
          <w:p w14:paraId="37F29C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Auditoría</w:t>
            </w:r>
          </w:p>
        </w:tc>
        <w:tc>
          <w:tcPr>
            <w:tcW w:w="6729" w:type="dxa"/>
            <w:vAlign w:val="center"/>
            <w:hideMark/>
          </w:tcPr>
          <w:p w14:paraId="715AB49B" w14:textId="77777777" w:rsidR="00160081" w:rsidRPr="00160081" w:rsidRDefault="00160081" w:rsidP="00BD3D91">
            <w:pPr>
              <w:rPr>
                <w:rFonts w:cstheme="minorHAnsi"/>
                <w:color w:val="000000"/>
                <w:sz w:val="20"/>
                <w:szCs w:val="20"/>
              </w:rPr>
            </w:pPr>
            <w:r w:rsidRPr="00160081">
              <w:rPr>
                <w:rFonts w:cstheme="minorHAnsi"/>
                <w:color w:val="000000"/>
                <w:sz w:val="20"/>
                <w:szCs w:val="20"/>
              </w:rPr>
              <w:t>Registro trazable y consultable de accesos, acciones, configuraciones, integraciones y operaciones del sistema.</w:t>
            </w:r>
          </w:p>
        </w:tc>
      </w:tr>
      <w:tr w:rsidR="00160081" w:rsidRPr="00160081" w14:paraId="39FE36AF" w14:textId="77777777" w:rsidTr="00616507">
        <w:trPr>
          <w:trHeight w:val="340"/>
          <w:jc w:val="center"/>
        </w:trPr>
        <w:tc>
          <w:tcPr>
            <w:tcW w:w="0" w:type="auto"/>
            <w:vAlign w:val="center"/>
            <w:hideMark/>
          </w:tcPr>
          <w:p w14:paraId="1AB33CC2"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RBAC (Role-Based Access Control)</w:t>
            </w:r>
          </w:p>
        </w:tc>
        <w:tc>
          <w:tcPr>
            <w:tcW w:w="6729" w:type="dxa"/>
            <w:vAlign w:val="center"/>
            <w:hideMark/>
          </w:tcPr>
          <w:p w14:paraId="692E8DAE" w14:textId="77777777" w:rsidR="00160081" w:rsidRPr="00160081" w:rsidRDefault="00160081" w:rsidP="00BD3D91">
            <w:pPr>
              <w:rPr>
                <w:rFonts w:cstheme="minorHAnsi"/>
                <w:color w:val="000000"/>
                <w:sz w:val="20"/>
                <w:szCs w:val="20"/>
              </w:rPr>
            </w:pPr>
            <w:r w:rsidRPr="00160081">
              <w:rPr>
                <w:rFonts w:cstheme="minorHAnsi"/>
                <w:color w:val="000000"/>
                <w:sz w:val="20"/>
                <w:szCs w:val="20"/>
              </w:rPr>
              <w:t>Modelo de control de acceso basado en roles asignados a los usuarios.</w:t>
            </w:r>
          </w:p>
        </w:tc>
      </w:tr>
      <w:tr w:rsidR="00160081" w:rsidRPr="00160081" w14:paraId="5AC2AEDE" w14:textId="77777777" w:rsidTr="00616507">
        <w:trPr>
          <w:trHeight w:val="340"/>
          <w:jc w:val="center"/>
        </w:trPr>
        <w:tc>
          <w:tcPr>
            <w:tcW w:w="0" w:type="auto"/>
            <w:vAlign w:val="center"/>
            <w:hideMark/>
          </w:tcPr>
          <w:p w14:paraId="6884B5AF" w14:textId="77777777" w:rsidR="00160081" w:rsidRPr="00160081" w:rsidRDefault="00160081" w:rsidP="00BD3D91">
            <w:pPr>
              <w:rPr>
                <w:rFonts w:cstheme="minorHAnsi"/>
                <w:color w:val="000000"/>
                <w:sz w:val="20"/>
                <w:szCs w:val="20"/>
                <w:lang w:val="en-US"/>
              </w:rPr>
            </w:pPr>
            <w:r w:rsidRPr="00160081">
              <w:rPr>
                <w:rFonts w:cstheme="minorHAnsi"/>
                <w:color w:val="000000"/>
                <w:sz w:val="20"/>
                <w:szCs w:val="20"/>
                <w:lang w:val="en-US"/>
              </w:rPr>
              <w:t>ABAC (Attribute-Based Access Control)</w:t>
            </w:r>
          </w:p>
        </w:tc>
        <w:tc>
          <w:tcPr>
            <w:tcW w:w="6729" w:type="dxa"/>
            <w:vAlign w:val="center"/>
            <w:hideMark/>
          </w:tcPr>
          <w:p w14:paraId="463AD9CF" w14:textId="77777777" w:rsidR="00160081" w:rsidRPr="00160081" w:rsidRDefault="00160081" w:rsidP="00BD3D91">
            <w:pPr>
              <w:rPr>
                <w:rFonts w:cstheme="minorHAnsi"/>
                <w:color w:val="000000"/>
                <w:sz w:val="20"/>
                <w:szCs w:val="20"/>
              </w:rPr>
            </w:pPr>
            <w:r w:rsidRPr="00160081">
              <w:rPr>
                <w:rFonts w:cstheme="minorHAnsi"/>
                <w:color w:val="000000"/>
                <w:sz w:val="20"/>
                <w:szCs w:val="20"/>
              </w:rPr>
              <w:t>Modelo de control de acceso basado en atributos del usuario, recurso y contexto.</w:t>
            </w:r>
          </w:p>
        </w:tc>
      </w:tr>
      <w:tr w:rsidR="00160081" w:rsidRPr="00160081" w14:paraId="314EF1CE" w14:textId="77777777" w:rsidTr="00616507">
        <w:trPr>
          <w:trHeight w:val="340"/>
          <w:jc w:val="center"/>
        </w:trPr>
        <w:tc>
          <w:tcPr>
            <w:tcW w:w="0" w:type="auto"/>
            <w:vAlign w:val="center"/>
            <w:hideMark/>
          </w:tcPr>
          <w:p w14:paraId="79BB5E3A"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OAuth 2.0 / </w:t>
            </w:r>
            <w:proofErr w:type="spellStart"/>
            <w:r w:rsidRPr="00160081">
              <w:rPr>
                <w:rFonts w:cstheme="minorHAnsi"/>
                <w:color w:val="000000"/>
                <w:sz w:val="20"/>
                <w:szCs w:val="20"/>
              </w:rPr>
              <w:t>OpenID</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Connect</w:t>
            </w:r>
            <w:proofErr w:type="spellEnd"/>
            <w:r w:rsidRPr="00160081">
              <w:rPr>
                <w:rFonts w:cstheme="minorHAnsi"/>
                <w:color w:val="000000"/>
                <w:sz w:val="20"/>
                <w:szCs w:val="20"/>
              </w:rPr>
              <w:t xml:space="preserve"> (OIDC)</w:t>
            </w:r>
          </w:p>
        </w:tc>
        <w:tc>
          <w:tcPr>
            <w:tcW w:w="6729" w:type="dxa"/>
            <w:vAlign w:val="center"/>
            <w:hideMark/>
          </w:tcPr>
          <w:p w14:paraId="241AC046" w14:textId="77777777" w:rsidR="00160081" w:rsidRPr="00160081" w:rsidRDefault="00160081" w:rsidP="00BD3D91">
            <w:pPr>
              <w:rPr>
                <w:rFonts w:cstheme="minorHAnsi"/>
                <w:color w:val="000000"/>
                <w:sz w:val="20"/>
                <w:szCs w:val="20"/>
              </w:rPr>
            </w:pPr>
            <w:r w:rsidRPr="00160081">
              <w:rPr>
                <w:rFonts w:cstheme="minorHAnsi"/>
                <w:color w:val="000000"/>
                <w:sz w:val="20"/>
                <w:szCs w:val="20"/>
              </w:rPr>
              <w:t>Estándares para autenticación y autorización segura entre sistemas.</w:t>
            </w:r>
          </w:p>
        </w:tc>
      </w:tr>
      <w:tr w:rsidR="00160081" w:rsidRPr="00160081" w14:paraId="0FB8F291" w14:textId="77777777" w:rsidTr="00616507">
        <w:trPr>
          <w:trHeight w:val="340"/>
          <w:jc w:val="center"/>
        </w:trPr>
        <w:tc>
          <w:tcPr>
            <w:tcW w:w="0" w:type="auto"/>
            <w:vAlign w:val="center"/>
            <w:hideMark/>
          </w:tcPr>
          <w:p w14:paraId="3C9F4467"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Active </w:t>
            </w:r>
            <w:proofErr w:type="spellStart"/>
            <w:r w:rsidRPr="00160081">
              <w:rPr>
                <w:rFonts w:cstheme="minorHAnsi"/>
                <w:color w:val="000000"/>
                <w:sz w:val="20"/>
                <w:szCs w:val="20"/>
              </w:rPr>
              <w:t>Directory</w:t>
            </w:r>
            <w:proofErr w:type="spellEnd"/>
            <w:r w:rsidRPr="00160081">
              <w:rPr>
                <w:rFonts w:cstheme="minorHAnsi"/>
                <w:color w:val="000000"/>
                <w:sz w:val="20"/>
                <w:szCs w:val="20"/>
              </w:rPr>
              <w:t xml:space="preserve"> (AD)</w:t>
            </w:r>
          </w:p>
        </w:tc>
        <w:tc>
          <w:tcPr>
            <w:tcW w:w="6729" w:type="dxa"/>
            <w:vAlign w:val="center"/>
            <w:hideMark/>
          </w:tcPr>
          <w:p w14:paraId="450FF1B8" w14:textId="77777777" w:rsidR="00160081" w:rsidRPr="00160081" w:rsidRDefault="00160081" w:rsidP="00BD3D91">
            <w:pPr>
              <w:rPr>
                <w:rFonts w:cstheme="minorHAnsi"/>
                <w:color w:val="000000"/>
                <w:sz w:val="20"/>
                <w:szCs w:val="20"/>
              </w:rPr>
            </w:pPr>
            <w:r w:rsidRPr="00160081">
              <w:rPr>
                <w:rFonts w:cstheme="minorHAnsi"/>
                <w:color w:val="000000"/>
                <w:sz w:val="20"/>
                <w:szCs w:val="20"/>
              </w:rPr>
              <w:t>Servicio de directorio utilizado para autenticación y gestión de identidades.</w:t>
            </w:r>
          </w:p>
        </w:tc>
      </w:tr>
      <w:tr w:rsidR="00160081" w:rsidRPr="00160081" w14:paraId="6DC610C1" w14:textId="77777777" w:rsidTr="00616507">
        <w:trPr>
          <w:trHeight w:val="340"/>
          <w:jc w:val="center"/>
        </w:trPr>
        <w:tc>
          <w:tcPr>
            <w:tcW w:w="0" w:type="auto"/>
            <w:vAlign w:val="center"/>
            <w:hideMark/>
          </w:tcPr>
          <w:p w14:paraId="453E6C88"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PKI (Public Key </w:t>
            </w:r>
            <w:proofErr w:type="spellStart"/>
            <w:r w:rsidRPr="00160081">
              <w:rPr>
                <w:rFonts w:cstheme="minorHAnsi"/>
                <w:color w:val="000000"/>
                <w:sz w:val="20"/>
                <w:szCs w:val="20"/>
              </w:rPr>
              <w:t>Infrastructure</w:t>
            </w:r>
            <w:proofErr w:type="spellEnd"/>
            <w:r w:rsidRPr="00160081">
              <w:rPr>
                <w:rFonts w:cstheme="minorHAnsi"/>
                <w:color w:val="000000"/>
                <w:sz w:val="20"/>
                <w:szCs w:val="20"/>
              </w:rPr>
              <w:t>)</w:t>
            </w:r>
          </w:p>
        </w:tc>
        <w:tc>
          <w:tcPr>
            <w:tcW w:w="6729" w:type="dxa"/>
            <w:vAlign w:val="center"/>
            <w:hideMark/>
          </w:tcPr>
          <w:p w14:paraId="06D67EAB" w14:textId="77777777" w:rsidR="00160081" w:rsidRPr="00160081" w:rsidRDefault="00160081" w:rsidP="00BD3D91">
            <w:pPr>
              <w:rPr>
                <w:rFonts w:cstheme="minorHAnsi"/>
                <w:color w:val="000000"/>
                <w:sz w:val="20"/>
                <w:szCs w:val="20"/>
              </w:rPr>
            </w:pPr>
            <w:r w:rsidRPr="00160081">
              <w:rPr>
                <w:rFonts w:cstheme="minorHAnsi"/>
                <w:color w:val="000000"/>
                <w:sz w:val="20"/>
                <w:szCs w:val="20"/>
              </w:rPr>
              <w:t>Infraestructura para gestión de certificados digitales y firmas electrónicas.</w:t>
            </w:r>
          </w:p>
        </w:tc>
      </w:tr>
      <w:tr w:rsidR="00160081" w:rsidRPr="00160081" w14:paraId="7EF94BA9" w14:textId="77777777" w:rsidTr="00616507">
        <w:trPr>
          <w:trHeight w:val="435"/>
          <w:jc w:val="center"/>
        </w:trPr>
        <w:tc>
          <w:tcPr>
            <w:tcW w:w="0" w:type="auto"/>
            <w:vAlign w:val="center"/>
            <w:hideMark/>
          </w:tcPr>
          <w:p w14:paraId="627DA383" w14:textId="77777777" w:rsidR="00160081" w:rsidRPr="00160081" w:rsidRDefault="00160081" w:rsidP="00BD3D91">
            <w:pPr>
              <w:rPr>
                <w:rFonts w:cstheme="minorHAnsi"/>
                <w:color w:val="000000"/>
                <w:sz w:val="20"/>
                <w:szCs w:val="20"/>
              </w:rPr>
            </w:pPr>
            <w:r w:rsidRPr="00160081">
              <w:rPr>
                <w:rFonts w:cstheme="minorHAnsi"/>
                <w:color w:val="000000"/>
                <w:sz w:val="20"/>
                <w:szCs w:val="20"/>
              </w:rPr>
              <w:t>Firma Electrónica</w:t>
            </w:r>
          </w:p>
        </w:tc>
        <w:tc>
          <w:tcPr>
            <w:tcW w:w="6729" w:type="dxa"/>
            <w:vAlign w:val="center"/>
            <w:hideMark/>
          </w:tcPr>
          <w:p w14:paraId="08F6CBE8" w14:textId="77777777" w:rsidR="00160081" w:rsidRPr="00160081" w:rsidRDefault="00160081" w:rsidP="00BD3D91">
            <w:pPr>
              <w:rPr>
                <w:rFonts w:cstheme="minorHAnsi"/>
                <w:color w:val="000000"/>
                <w:sz w:val="20"/>
                <w:szCs w:val="20"/>
              </w:rPr>
            </w:pPr>
            <w:r w:rsidRPr="00160081">
              <w:rPr>
                <w:rFonts w:cstheme="minorHAnsi"/>
                <w:color w:val="000000"/>
                <w:sz w:val="20"/>
                <w:szCs w:val="20"/>
              </w:rPr>
              <w:t>Mecanismo criptográfico que garantiza integridad, autenticidad y no repudio de documentos.</w:t>
            </w:r>
          </w:p>
        </w:tc>
      </w:tr>
      <w:tr w:rsidR="00160081" w:rsidRPr="00160081" w14:paraId="55E725D5" w14:textId="77777777" w:rsidTr="00616507">
        <w:trPr>
          <w:trHeight w:val="340"/>
          <w:jc w:val="center"/>
        </w:trPr>
        <w:tc>
          <w:tcPr>
            <w:tcW w:w="0" w:type="auto"/>
            <w:vAlign w:val="center"/>
            <w:hideMark/>
          </w:tcPr>
          <w:p w14:paraId="3CD87E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Cifrado AES-256</w:t>
            </w:r>
          </w:p>
        </w:tc>
        <w:tc>
          <w:tcPr>
            <w:tcW w:w="6729" w:type="dxa"/>
            <w:vAlign w:val="center"/>
            <w:hideMark/>
          </w:tcPr>
          <w:p w14:paraId="58692CC3" w14:textId="77777777" w:rsidR="00160081" w:rsidRPr="00160081" w:rsidRDefault="00160081" w:rsidP="00BD3D91">
            <w:pPr>
              <w:rPr>
                <w:rFonts w:cstheme="minorHAnsi"/>
                <w:color w:val="000000"/>
                <w:sz w:val="20"/>
                <w:szCs w:val="20"/>
              </w:rPr>
            </w:pPr>
            <w:r w:rsidRPr="00160081">
              <w:rPr>
                <w:rFonts w:cstheme="minorHAnsi"/>
                <w:color w:val="000000"/>
                <w:sz w:val="20"/>
                <w:szCs w:val="20"/>
              </w:rPr>
              <w:t>Algoritmo de cifrado utilizado para proteger datos en reposo.</w:t>
            </w:r>
          </w:p>
        </w:tc>
      </w:tr>
      <w:tr w:rsidR="00160081" w:rsidRPr="00160081" w14:paraId="43AF43A7" w14:textId="77777777" w:rsidTr="00616507">
        <w:trPr>
          <w:trHeight w:val="340"/>
          <w:jc w:val="center"/>
        </w:trPr>
        <w:tc>
          <w:tcPr>
            <w:tcW w:w="0" w:type="auto"/>
            <w:vAlign w:val="center"/>
            <w:hideMark/>
          </w:tcPr>
          <w:p w14:paraId="1FA332EC" w14:textId="77777777" w:rsidR="00160081" w:rsidRPr="00160081" w:rsidRDefault="00160081" w:rsidP="00BD3D91">
            <w:pPr>
              <w:rPr>
                <w:rFonts w:cstheme="minorHAnsi"/>
                <w:color w:val="000000"/>
                <w:sz w:val="20"/>
                <w:szCs w:val="20"/>
              </w:rPr>
            </w:pPr>
            <w:r w:rsidRPr="00160081">
              <w:rPr>
                <w:rFonts w:cstheme="minorHAnsi"/>
                <w:color w:val="000000"/>
                <w:sz w:val="20"/>
                <w:szCs w:val="20"/>
              </w:rPr>
              <w:t>TLS (</w:t>
            </w:r>
            <w:proofErr w:type="spellStart"/>
            <w:r w:rsidRPr="00160081">
              <w:rPr>
                <w:rFonts w:cstheme="minorHAnsi"/>
                <w:color w:val="000000"/>
                <w:sz w:val="20"/>
                <w:szCs w:val="20"/>
              </w:rPr>
              <w:t>Transport</w:t>
            </w:r>
            <w:proofErr w:type="spellEnd"/>
            <w:r w:rsidRPr="00160081">
              <w:rPr>
                <w:rFonts w:cstheme="minorHAnsi"/>
                <w:color w:val="000000"/>
                <w:sz w:val="20"/>
                <w:szCs w:val="20"/>
              </w:rPr>
              <w:t xml:space="preserve"> Layer Security)</w:t>
            </w:r>
          </w:p>
        </w:tc>
        <w:tc>
          <w:tcPr>
            <w:tcW w:w="6729" w:type="dxa"/>
            <w:vAlign w:val="center"/>
            <w:hideMark/>
          </w:tcPr>
          <w:p w14:paraId="52E559B5"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Protocolo de seguridad para proteger datos en tránsito.</w:t>
            </w:r>
          </w:p>
        </w:tc>
      </w:tr>
      <w:tr w:rsidR="00160081" w:rsidRPr="00160081" w14:paraId="23C2C6F8" w14:textId="77777777" w:rsidTr="00616507">
        <w:trPr>
          <w:trHeight w:val="340"/>
          <w:jc w:val="center"/>
        </w:trPr>
        <w:tc>
          <w:tcPr>
            <w:tcW w:w="0" w:type="auto"/>
            <w:vAlign w:val="center"/>
            <w:hideMark/>
          </w:tcPr>
          <w:p w14:paraId="35C341C6" w14:textId="77777777" w:rsidR="00160081" w:rsidRPr="00160081" w:rsidRDefault="00160081" w:rsidP="00BD3D91">
            <w:pPr>
              <w:rPr>
                <w:rFonts w:cstheme="minorHAnsi"/>
                <w:color w:val="000000"/>
                <w:sz w:val="20"/>
                <w:szCs w:val="20"/>
              </w:rPr>
            </w:pPr>
            <w:r w:rsidRPr="00160081">
              <w:rPr>
                <w:rFonts w:cstheme="minorHAnsi"/>
                <w:color w:val="000000"/>
                <w:sz w:val="20"/>
                <w:szCs w:val="20"/>
              </w:rPr>
              <w:t xml:space="preserve">MFA (Multi-Factor </w:t>
            </w:r>
            <w:proofErr w:type="spellStart"/>
            <w:r w:rsidRPr="00160081">
              <w:rPr>
                <w:rFonts w:cstheme="minorHAnsi"/>
                <w:color w:val="000000"/>
                <w:sz w:val="20"/>
                <w:szCs w:val="20"/>
              </w:rPr>
              <w:t>Authentication</w:t>
            </w:r>
            <w:proofErr w:type="spellEnd"/>
            <w:r w:rsidRPr="00160081">
              <w:rPr>
                <w:rFonts w:cstheme="minorHAnsi"/>
                <w:color w:val="000000"/>
                <w:sz w:val="20"/>
                <w:szCs w:val="20"/>
              </w:rPr>
              <w:t>)</w:t>
            </w:r>
          </w:p>
        </w:tc>
        <w:tc>
          <w:tcPr>
            <w:tcW w:w="6729" w:type="dxa"/>
            <w:vAlign w:val="center"/>
            <w:hideMark/>
          </w:tcPr>
          <w:p w14:paraId="1EBF162F" w14:textId="77777777" w:rsidR="00160081" w:rsidRPr="00160081" w:rsidRDefault="00160081" w:rsidP="00BD3D91">
            <w:pPr>
              <w:rPr>
                <w:rFonts w:cstheme="minorHAnsi"/>
                <w:color w:val="000000"/>
                <w:sz w:val="20"/>
                <w:szCs w:val="20"/>
              </w:rPr>
            </w:pPr>
            <w:r w:rsidRPr="00160081">
              <w:rPr>
                <w:rFonts w:cstheme="minorHAnsi"/>
                <w:color w:val="000000"/>
                <w:sz w:val="20"/>
                <w:szCs w:val="20"/>
              </w:rPr>
              <w:t>Autenticación basada en múltiples factores de verificación.</w:t>
            </w:r>
          </w:p>
        </w:tc>
      </w:tr>
      <w:tr w:rsidR="00160081" w:rsidRPr="00160081" w14:paraId="7AEF9E8A" w14:textId="77777777" w:rsidTr="00616507">
        <w:trPr>
          <w:trHeight w:val="340"/>
          <w:jc w:val="center"/>
        </w:trPr>
        <w:tc>
          <w:tcPr>
            <w:tcW w:w="0" w:type="auto"/>
            <w:vAlign w:val="center"/>
            <w:hideMark/>
          </w:tcPr>
          <w:p w14:paraId="0257CCEC" w14:textId="77777777" w:rsidR="00160081" w:rsidRPr="00160081" w:rsidRDefault="00160081" w:rsidP="00BD3D91">
            <w:pPr>
              <w:rPr>
                <w:rFonts w:cstheme="minorHAnsi"/>
                <w:color w:val="000000"/>
                <w:sz w:val="20"/>
                <w:szCs w:val="20"/>
              </w:rPr>
            </w:pPr>
            <w:r w:rsidRPr="00160081">
              <w:rPr>
                <w:rFonts w:cstheme="minorHAnsi"/>
                <w:color w:val="000000"/>
                <w:sz w:val="20"/>
                <w:szCs w:val="20"/>
              </w:rPr>
              <w:t>Enmascaramiento de Datos</w:t>
            </w:r>
          </w:p>
        </w:tc>
        <w:tc>
          <w:tcPr>
            <w:tcW w:w="6729" w:type="dxa"/>
            <w:vAlign w:val="center"/>
            <w:hideMark/>
          </w:tcPr>
          <w:p w14:paraId="7D5D2F61" w14:textId="77777777" w:rsidR="00160081" w:rsidRPr="00160081" w:rsidRDefault="00160081" w:rsidP="00BD3D91">
            <w:pPr>
              <w:rPr>
                <w:rFonts w:cstheme="minorHAnsi"/>
                <w:color w:val="000000"/>
                <w:sz w:val="20"/>
                <w:szCs w:val="20"/>
              </w:rPr>
            </w:pPr>
            <w:r w:rsidRPr="00160081">
              <w:rPr>
                <w:rFonts w:cstheme="minorHAnsi"/>
                <w:color w:val="000000"/>
                <w:sz w:val="20"/>
                <w:szCs w:val="20"/>
              </w:rPr>
              <w:t>Técnica que oculta información sensible según rol o contexto.</w:t>
            </w:r>
          </w:p>
        </w:tc>
      </w:tr>
      <w:tr w:rsidR="00160081" w:rsidRPr="00160081" w14:paraId="470333CA" w14:textId="77777777" w:rsidTr="00616507">
        <w:trPr>
          <w:trHeight w:val="340"/>
          <w:jc w:val="center"/>
        </w:trPr>
        <w:tc>
          <w:tcPr>
            <w:tcW w:w="0" w:type="auto"/>
            <w:vAlign w:val="center"/>
            <w:hideMark/>
          </w:tcPr>
          <w:p w14:paraId="55A2001A" w14:textId="77777777" w:rsidR="00160081" w:rsidRPr="00160081" w:rsidRDefault="00160081" w:rsidP="00BD3D91">
            <w:pPr>
              <w:rPr>
                <w:rFonts w:cstheme="minorHAnsi"/>
                <w:color w:val="000000"/>
                <w:sz w:val="20"/>
                <w:szCs w:val="20"/>
              </w:rPr>
            </w:pPr>
            <w:r w:rsidRPr="00160081">
              <w:rPr>
                <w:rFonts w:cstheme="minorHAnsi"/>
                <w:color w:val="000000"/>
                <w:sz w:val="20"/>
                <w:szCs w:val="20"/>
              </w:rPr>
              <w:t>RTO (</w:t>
            </w:r>
            <w:proofErr w:type="spellStart"/>
            <w:r w:rsidRPr="00160081">
              <w:rPr>
                <w:rFonts w:cstheme="minorHAnsi"/>
                <w:color w:val="000000"/>
                <w:sz w:val="20"/>
                <w:szCs w:val="20"/>
              </w:rPr>
              <w:t>Recovery</w:t>
            </w:r>
            <w:proofErr w:type="spellEnd"/>
            <w:r w:rsidRPr="00160081">
              <w:rPr>
                <w:rFonts w:cstheme="minorHAnsi"/>
                <w:color w:val="000000"/>
                <w:sz w:val="20"/>
                <w:szCs w:val="20"/>
              </w:rPr>
              <w:t xml:space="preserve"> Time </w:t>
            </w:r>
            <w:proofErr w:type="spellStart"/>
            <w:r w:rsidRPr="00160081">
              <w:rPr>
                <w:rFonts w:cstheme="minorHAnsi"/>
                <w:color w:val="000000"/>
                <w:sz w:val="20"/>
                <w:szCs w:val="20"/>
              </w:rPr>
              <w:t>Objective</w:t>
            </w:r>
            <w:proofErr w:type="spellEnd"/>
            <w:r w:rsidRPr="00160081">
              <w:rPr>
                <w:rFonts w:cstheme="minorHAnsi"/>
                <w:color w:val="000000"/>
                <w:sz w:val="20"/>
                <w:szCs w:val="20"/>
              </w:rPr>
              <w:t>)</w:t>
            </w:r>
          </w:p>
        </w:tc>
        <w:tc>
          <w:tcPr>
            <w:tcW w:w="6729" w:type="dxa"/>
            <w:vAlign w:val="center"/>
            <w:hideMark/>
          </w:tcPr>
          <w:p w14:paraId="42EADBE8" w14:textId="77777777" w:rsidR="00160081" w:rsidRPr="00160081" w:rsidRDefault="00160081" w:rsidP="00BD3D91">
            <w:pPr>
              <w:rPr>
                <w:rFonts w:cstheme="minorHAnsi"/>
                <w:color w:val="000000"/>
                <w:sz w:val="20"/>
                <w:szCs w:val="20"/>
              </w:rPr>
            </w:pPr>
            <w:r w:rsidRPr="00160081">
              <w:rPr>
                <w:rFonts w:cstheme="minorHAnsi"/>
                <w:color w:val="000000"/>
                <w:sz w:val="20"/>
                <w:szCs w:val="20"/>
              </w:rPr>
              <w:t>Tiempo máximo permitido para restablecer el servicio tras un desastre.</w:t>
            </w:r>
          </w:p>
        </w:tc>
      </w:tr>
      <w:tr w:rsidR="00160081" w:rsidRPr="00160081" w14:paraId="7E923740" w14:textId="77777777" w:rsidTr="00616507">
        <w:trPr>
          <w:trHeight w:val="340"/>
          <w:jc w:val="center"/>
        </w:trPr>
        <w:tc>
          <w:tcPr>
            <w:tcW w:w="0" w:type="auto"/>
            <w:vAlign w:val="center"/>
            <w:hideMark/>
          </w:tcPr>
          <w:p w14:paraId="60E6A46C" w14:textId="77777777" w:rsidR="00160081" w:rsidRPr="00160081" w:rsidRDefault="00160081" w:rsidP="00BD3D91">
            <w:pPr>
              <w:rPr>
                <w:rFonts w:cstheme="minorHAnsi"/>
                <w:color w:val="000000"/>
                <w:sz w:val="20"/>
                <w:szCs w:val="20"/>
              </w:rPr>
            </w:pPr>
            <w:r w:rsidRPr="00160081">
              <w:rPr>
                <w:rFonts w:cstheme="minorHAnsi"/>
                <w:color w:val="000000"/>
                <w:sz w:val="20"/>
                <w:szCs w:val="20"/>
              </w:rPr>
              <w:t>RPO (</w:t>
            </w:r>
            <w:proofErr w:type="spellStart"/>
            <w:r w:rsidRPr="00160081">
              <w:rPr>
                <w:rFonts w:cstheme="minorHAnsi"/>
                <w:color w:val="000000"/>
                <w:sz w:val="20"/>
                <w:szCs w:val="20"/>
              </w:rPr>
              <w:t>Recovery</w:t>
            </w:r>
            <w:proofErr w:type="spellEnd"/>
            <w:r w:rsidRPr="00160081">
              <w:rPr>
                <w:rFonts w:cstheme="minorHAnsi"/>
                <w:color w:val="000000"/>
                <w:sz w:val="20"/>
                <w:szCs w:val="20"/>
              </w:rPr>
              <w:t xml:space="preserve"> Point </w:t>
            </w:r>
            <w:proofErr w:type="spellStart"/>
            <w:r w:rsidRPr="00160081">
              <w:rPr>
                <w:rFonts w:cstheme="minorHAnsi"/>
                <w:color w:val="000000"/>
                <w:sz w:val="20"/>
                <w:szCs w:val="20"/>
              </w:rPr>
              <w:t>Objective</w:t>
            </w:r>
            <w:proofErr w:type="spellEnd"/>
            <w:r w:rsidRPr="00160081">
              <w:rPr>
                <w:rFonts w:cstheme="minorHAnsi"/>
                <w:color w:val="000000"/>
                <w:sz w:val="20"/>
                <w:szCs w:val="20"/>
              </w:rPr>
              <w:t>)</w:t>
            </w:r>
          </w:p>
        </w:tc>
        <w:tc>
          <w:tcPr>
            <w:tcW w:w="6729" w:type="dxa"/>
            <w:vAlign w:val="center"/>
            <w:hideMark/>
          </w:tcPr>
          <w:p w14:paraId="0B3EAD7C" w14:textId="77777777" w:rsidR="00160081" w:rsidRPr="00160081" w:rsidRDefault="00160081" w:rsidP="00BD3D91">
            <w:pPr>
              <w:rPr>
                <w:rFonts w:cstheme="minorHAnsi"/>
                <w:color w:val="000000"/>
                <w:sz w:val="20"/>
                <w:szCs w:val="20"/>
              </w:rPr>
            </w:pPr>
            <w:r w:rsidRPr="00160081">
              <w:rPr>
                <w:rFonts w:cstheme="minorHAnsi"/>
                <w:color w:val="000000"/>
                <w:sz w:val="20"/>
                <w:szCs w:val="20"/>
              </w:rPr>
              <w:t>Punto máximo de pérdida de datos aceptable tras un evento de contingencia.</w:t>
            </w:r>
          </w:p>
        </w:tc>
      </w:tr>
      <w:tr w:rsidR="00160081" w:rsidRPr="00160081" w14:paraId="1F1D6E06" w14:textId="77777777" w:rsidTr="00616507">
        <w:trPr>
          <w:trHeight w:val="340"/>
          <w:jc w:val="center"/>
        </w:trPr>
        <w:tc>
          <w:tcPr>
            <w:tcW w:w="0" w:type="auto"/>
            <w:vAlign w:val="center"/>
            <w:hideMark/>
          </w:tcPr>
          <w:p w14:paraId="4A5E7DD9" w14:textId="77777777" w:rsidR="00160081" w:rsidRPr="00160081" w:rsidRDefault="00160081" w:rsidP="00BD3D91">
            <w:pPr>
              <w:rPr>
                <w:rFonts w:cstheme="minorHAnsi"/>
                <w:color w:val="000000"/>
                <w:sz w:val="20"/>
                <w:szCs w:val="20"/>
              </w:rPr>
            </w:pPr>
            <w:r w:rsidRPr="00160081">
              <w:rPr>
                <w:rFonts w:cstheme="minorHAnsi"/>
                <w:color w:val="000000"/>
                <w:sz w:val="20"/>
                <w:szCs w:val="20"/>
              </w:rPr>
              <w:t>DR (</w:t>
            </w:r>
            <w:proofErr w:type="spellStart"/>
            <w:r w:rsidRPr="00160081">
              <w:rPr>
                <w:rFonts w:cstheme="minorHAnsi"/>
                <w:color w:val="000000"/>
                <w:sz w:val="20"/>
                <w:szCs w:val="20"/>
              </w:rPr>
              <w:t>Disaster</w:t>
            </w:r>
            <w:proofErr w:type="spellEnd"/>
            <w:r w:rsidRPr="00160081">
              <w:rPr>
                <w:rFonts w:cstheme="minorHAnsi"/>
                <w:color w:val="000000"/>
                <w:sz w:val="20"/>
                <w:szCs w:val="20"/>
              </w:rPr>
              <w:t xml:space="preserve"> </w:t>
            </w:r>
            <w:proofErr w:type="spellStart"/>
            <w:r w:rsidRPr="00160081">
              <w:rPr>
                <w:rFonts w:cstheme="minorHAnsi"/>
                <w:color w:val="000000"/>
                <w:sz w:val="20"/>
                <w:szCs w:val="20"/>
              </w:rPr>
              <w:t>Recovery</w:t>
            </w:r>
            <w:proofErr w:type="spellEnd"/>
            <w:r w:rsidRPr="00160081">
              <w:rPr>
                <w:rFonts w:cstheme="minorHAnsi"/>
                <w:color w:val="000000"/>
                <w:sz w:val="20"/>
                <w:szCs w:val="20"/>
              </w:rPr>
              <w:t>)</w:t>
            </w:r>
          </w:p>
        </w:tc>
        <w:tc>
          <w:tcPr>
            <w:tcW w:w="6729" w:type="dxa"/>
            <w:vAlign w:val="center"/>
            <w:hideMark/>
          </w:tcPr>
          <w:p w14:paraId="260EC161"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Conjunto de mecanismos para recuperación ante desastres.</w:t>
            </w:r>
          </w:p>
        </w:tc>
      </w:tr>
      <w:tr w:rsidR="00160081" w:rsidRPr="00160081" w14:paraId="6374DB1F" w14:textId="77777777" w:rsidTr="00616507">
        <w:trPr>
          <w:trHeight w:val="340"/>
          <w:jc w:val="center"/>
        </w:trPr>
        <w:tc>
          <w:tcPr>
            <w:tcW w:w="0" w:type="auto"/>
            <w:vAlign w:val="center"/>
            <w:hideMark/>
          </w:tcPr>
          <w:p w14:paraId="4712901B" w14:textId="77777777" w:rsidR="00160081" w:rsidRPr="00160081" w:rsidRDefault="00160081" w:rsidP="00BD3D91">
            <w:pPr>
              <w:rPr>
                <w:rFonts w:cstheme="minorHAnsi"/>
                <w:color w:val="000000"/>
                <w:sz w:val="20"/>
                <w:szCs w:val="20"/>
              </w:rPr>
            </w:pPr>
            <w:r w:rsidRPr="00160081">
              <w:rPr>
                <w:rFonts w:cstheme="minorHAnsi"/>
                <w:color w:val="000000"/>
                <w:sz w:val="20"/>
                <w:szCs w:val="20"/>
              </w:rPr>
              <w:t>Gestión de Cambios</w:t>
            </w:r>
          </w:p>
        </w:tc>
        <w:tc>
          <w:tcPr>
            <w:tcW w:w="6729" w:type="dxa"/>
            <w:vAlign w:val="center"/>
            <w:hideMark/>
          </w:tcPr>
          <w:p w14:paraId="2E2F30EE" w14:textId="77777777" w:rsidR="00160081" w:rsidRPr="00160081" w:rsidRDefault="00160081" w:rsidP="00BD3D91">
            <w:pPr>
              <w:rPr>
                <w:rFonts w:cstheme="minorHAnsi"/>
                <w:color w:val="000000"/>
                <w:sz w:val="20"/>
                <w:szCs w:val="20"/>
              </w:rPr>
            </w:pPr>
            <w:r w:rsidRPr="00160081">
              <w:rPr>
                <w:rFonts w:cstheme="minorHAnsi"/>
                <w:color w:val="000000"/>
                <w:sz w:val="20"/>
                <w:szCs w:val="20"/>
              </w:rPr>
              <w:t>Proceso formal para controlar modificaciones entre ambientes.</w:t>
            </w:r>
          </w:p>
        </w:tc>
      </w:tr>
      <w:tr w:rsidR="00160081" w:rsidRPr="00160081" w14:paraId="499FE4F9" w14:textId="77777777" w:rsidTr="00616507">
        <w:trPr>
          <w:trHeight w:val="515"/>
          <w:jc w:val="center"/>
        </w:trPr>
        <w:tc>
          <w:tcPr>
            <w:tcW w:w="0" w:type="auto"/>
            <w:vAlign w:val="center"/>
            <w:hideMark/>
          </w:tcPr>
          <w:p w14:paraId="15072B1A" w14:textId="77777777" w:rsidR="00160081" w:rsidRPr="00160081" w:rsidRDefault="00160081" w:rsidP="00BD3D91">
            <w:pPr>
              <w:rPr>
                <w:rFonts w:cstheme="minorHAnsi"/>
                <w:color w:val="000000"/>
                <w:sz w:val="20"/>
                <w:szCs w:val="20"/>
              </w:rPr>
            </w:pPr>
            <w:r w:rsidRPr="00160081">
              <w:rPr>
                <w:rFonts w:cstheme="minorHAnsi"/>
                <w:color w:val="000000"/>
                <w:sz w:val="20"/>
                <w:szCs w:val="20"/>
              </w:rPr>
              <w:t>Gobernanza de Artefactos</w:t>
            </w:r>
          </w:p>
        </w:tc>
        <w:tc>
          <w:tcPr>
            <w:tcW w:w="6729" w:type="dxa"/>
            <w:vAlign w:val="center"/>
            <w:hideMark/>
          </w:tcPr>
          <w:p w14:paraId="4F0D3B11" w14:textId="77777777" w:rsidR="00160081" w:rsidRPr="00160081" w:rsidRDefault="00160081" w:rsidP="00BD3D91">
            <w:pPr>
              <w:rPr>
                <w:rFonts w:cstheme="minorHAnsi"/>
                <w:color w:val="000000"/>
                <w:sz w:val="20"/>
                <w:szCs w:val="20"/>
              </w:rPr>
            </w:pPr>
            <w:r w:rsidRPr="00160081">
              <w:rPr>
                <w:rFonts w:cstheme="minorHAnsi"/>
                <w:color w:val="000000"/>
                <w:sz w:val="20"/>
                <w:szCs w:val="20"/>
              </w:rPr>
              <w:t>Control del ciclo de vida de procesos, reglas y documentos (versiones, aprobaciones y despliegues).</w:t>
            </w:r>
          </w:p>
        </w:tc>
      </w:tr>
      <w:tr w:rsidR="00160081" w:rsidRPr="00160081" w14:paraId="25823FDF" w14:textId="77777777" w:rsidTr="00616507">
        <w:trPr>
          <w:trHeight w:val="423"/>
          <w:jc w:val="center"/>
        </w:trPr>
        <w:tc>
          <w:tcPr>
            <w:tcW w:w="0" w:type="auto"/>
            <w:vAlign w:val="center"/>
            <w:hideMark/>
          </w:tcPr>
          <w:p w14:paraId="16201095" w14:textId="77777777" w:rsidR="00160081" w:rsidRPr="00160081" w:rsidRDefault="00160081" w:rsidP="00BD3D91">
            <w:pPr>
              <w:rPr>
                <w:rFonts w:cstheme="minorHAnsi"/>
                <w:color w:val="000000"/>
                <w:sz w:val="20"/>
                <w:szCs w:val="20"/>
              </w:rPr>
            </w:pPr>
            <w:r w:rsidRPr="00160081">
              <w:rPr>
                <w:rFonts w:cstheme="minorHAnsi"/>
                <w:color w:val="000000"/>
                <w:sz w:val="20"/>
                <w:szCs w:val="20"/>
              </w:rPr>
              <w:t>Casos de Uso</w:t>
            </w:r>
          </w:p>
        </w:tc>
        <w:tc>
          <w:tcPr>
            <w:tcW w:w="6729" w:type="dxa"/>
            <w:vAlign w:val="center"/>
            <w:hideMark/>
          </w:tcPr>
          <w:p w14:paraId="6728DBB9" w14:textId="77777777" w:rsidR="00160081" w:rsidRPr="00160081" w:rsidRDefault="00160081" w:rsidP="00BD3D91">
            <w:pPr>
              <w:rPr>
                <w:rFonts w:cstheme="minorHAnsi"/>
                <w:color w:val="000000"/>
                <w:sz w:val="20"/>
                <w:szCs w:val="20"/>
              </w:rPr>
            </w:pPr>
            <w:r w:rsidRPr="00160081">
              <w:rPr>
                <w:rFonts w:cstheme="minorHAnsi"/>
                <w:color w:val="000000"/>
                <w:sz w:val="20"/>
                <w:szCs w:val="20"/>
              </w:rPr>
              <w:t>Definiciones funcionales que describen cómo la solución soporta un proceso o necesidad institucional.</w:t>
            </w:r>
          </w:p>
        </w:tc>
      </w:tr>
      <w:tr w:rsidR="00160081" w:rsidRPr="00160081" w14:paraId="7CD9F688" w14:textId="77777777" w:rsidTr="00616507">
        <w:trPr>
          <w:trHeight w:val="423"/>
          <w:jc w:val="center"/>
        </w:trPr>
        <w:tc>
          <w:tcPr>
            <w:tcW w:w="0" w:type="auto"/>
            <w:vAlign w:val="center"/>
          </w:tcPr>
          <w:p w14:paraId="10D90490" w14:textId="77777777" w:rsidR="00160081" w:rsidRPr="00160081" w:rsidRDefault="00160081" w:rsidP="00BD3D91">
            <w:pPr>
              <w:rPr>
                <w:rFonts w:cstheme="minorHAnsi"/>
                <w:color w:val="000000"/>
                <w:sz w:val="20"/>
                <w:szCs w:val="20"/>
              </w:rPr>
            </w:pPr>
            <w:r w:rsidRPr="00160081">
              <w:rPr>
                <w:rFonts w:cstheme="minorHAnsi"/>
                <w:color w:val="000000"/>
                <w:sz w:val="20"/>
                <w:szCs w:val="20"/>
              </w:rPr>
              <w:t>LOPDP</w:t>
            </w:r>
          </w:p>
        </w:tc>
        <w:tc>
          <w:tcPr>
            <w:tcW w:w="6729" w:type="dxa"/>
            <w:vAlign w:val="center"/>
          </w:tcPr>
          <w:p w14:paraId="7090C4C7" w14:textId="77777777" w:rsidR="00160081" w:rsidRPr="00160081" w:rsidRDefault="00160081" w:rsidP="00BD3D91">
            <w:pPr>
              <w:rPr>
                <w:rFonts w:cstheme="minorHAnsi"/>
                <w:color w:val="000000"/>
                <w:sz w:val="20"/>
                <w:szCs w:val="20"/>
              </w:rPr>
            </w:pPr>
            <w:r w:rsidRPr="00160081">
              <w:rPr>
                <w:rFonts w:cstheme="minorHAnsi"/>
                <w:color w:val="000000"/>
                <w:sz w:val="20"/>
                <w:szCs w:val="20"/>
              </w:rPr>
              <w:t>Ley Orgánica de Protección de Datos Personales</w:t>
            </w:r>
          </w:p>
        </w:tc>
      </w:tr>
      <w:tr w:rsidR="00160081" w:rsidRPr="00160081" w14:paraId="08408C8C" w14:textId="77777777" w:rsidTr="00616507">
        <w:trPr>
          <w:trHeight w:val="423"/>
          <w:jc w:val="center"/>
        </w:trPr>
        <w:tc>
          <w:tcPr>
            <w:tcW w:w="0" w:type="auto"/>
            <w:vAlign w:val="center"/>
          </w:tcPr>
          <w:p w14:paraId="50D3C381"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SIAP</w:t>
            </w:r>
          </w:p>
        </w:tc>
        <w:tc>
          <w:tcPr>
            <w:tcW w:w="6729" w:type="dxa"/>
            <w:vAlign w:val="center"/>
          </w:tcPr>
          <w:p w14:paraId="67000EB1"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Sistema Integrado de Automatización de Procesos</w:t>
            </w:r>
          </w:p>
        </w:tc>
      </w:tr>
      <w:tr w:rsidR="00160081" w:rsidRPr="00160081" w14:paraId="458956EE" w14:textId="77777777" w:rsidTr="00616507">
        <w:trPr>
          <w:trHeight w:val="423"/>
          <w:jc w:val="center"/>
        </w:trPr>
        <w:tc>
          <w:tcPr>
            <w:tcW w:w="0" w:type="auto"/>
            <w:vAlign w:val="center"/>
          </w:tcPr>
          <w:p w14:paraId="2F5C8E15" w14:textId="77777777" w:rsidR="00160081" w:rsidRPr="00160081" w:rsidRDefault="00160081" w:rsidP="00BD3D91">
            <w:pPr>
              <w:rPr>
                <w:rFonts w:cstheme="minorHAnsi"/>
                <w:color w:val="000000"/>
                <w:sz w:val="20"/>
                <w:szCs w:val="20"/>
              </w:rPr>
            </w:pPr>
            <w:r w:rsidRPr="00160081">
              <w:rPr>
                <w:rFonts w:cstheme="minorHAnsi"/>
                <w:color w:val="000000"/>
                <w:sz w:val="20"/>
                <w:szCs w:val="20"/>
              </w:rPr>
              <w:t>SGRT</w:t>
            </w:r>
          </w:p>
        </w:tc>
        <w:tc>
          <w:tcPr>
            <w:tcW w:w="6729" w:type="dxa"/>
            <w:vAlign w:val="center"/>
          </w:tcPr>
          <w:p w14:paraId="0CC39074"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Sistema de Gestión de Riesgos Tributarios</w:t>
            </w:r>
          </w:p>
        </w:tc>
      </w:tr>
      <w:tr w:rsidR="00160081" w:rsidRPr="00160081" w14:paraId="2C0C3FF2" w14:textId="77777777" w:rsidTr="00616507">
        <w:trPr>
          <w:trHeight w:val="423"/>
          <w:jc w:val="center"/>
        </w:trPr>
        <w:tc>
          <w:tcPr>
            <w:tcW w:w="0" w:type="auto"/>
            <w:vAlign w:val="center"/>
          </w:tcPr>
          <w:p w14:paraId="40D8C96B" w14:textId="77777777" w:rsidR="00160081" w:rsidRPr="00160081" w:rsidRDefault="00160081" w:rsidP="00BD3D91">
            <w:pPr>
              <w:rPr>
                <w:rFonts w:cstheme="minorHAnsi"/>
                <w:color w:val="000000"/>
                <w:sz w:val="20"/>
                <w:szCs w:val="20"/>
              </w:rPr>
            </w:pPr>
            <w:bookmarkStart w:id="138" w:name="OLE_LINK30"/>
            <w:r w:rsidRPr="00160081">
              <w:rPr>
                <w:rFonts w:cstheme="minorHAnsi"/>
                <w:color w:val="000000"/>
                <w:sz w:val="20"/>
                <w:szCs w:val="20"/>
              </w:rPr>
              <w:t>SGDYEI</w:t>
            </w:r>
            <w:bookmarkEnd w:id="138"/>
          </w:p>
        </w:tc>
        <w:tc>
          <w:tcPr>
            <w:tcW w:w="6729" w:type="dxa"/>
            <w:vAlign w:val="center"/>
          </w:tcPr>
          <w:p w14:paraId="57B3E95B"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Sistema de Gestión Documental y Expediente Integral</w:t>
            </w:r>
          </w:p>
        </w:tc>
      </w:tr>
      <w:tr w:rsidR="00160081" w:rsidRPr="00160081" w14:paraId="1001368E" w14:textId="77777777" w:rsidTr="00616507">
        <w:trPr>
          <w:trHeight w:val="423"/>
          <w:jc w:val="center"/>
        </w:trPr>
        <w:tc>
          <w:tcPr>
            <w:tcW w:w="0" w:type="auto"/>
            <w:vAlign w:val="center"/>
          </w:tcPr>
          <w:p w14:paraId="6CFDF25D" w14:textId="77777777" w:rsidR="00160081" w:rsidRPr="00160081" w:rsidRDefault="00160081" w:rsidP="00BD3D91">
            <w:pPr>
              <w:rPr>
                <w:rFonts w:cstheme="minorHAnsi"/>
                <w:color w:val="000000"/>
                <w:sz w:val="20"/>
                <w:szCs w:val="20"/>
              </w:rPr>
            </w:pPr>
            <w:r w:rsidRPr="00160081">
              <w:rPr>
                <w:rFonts w:cstheme="minorHAnsi"/>
                <w:color w:val="000000"/>
                <w:sz w:val="20"/>
                <w:szCs w:val="20"/>
              </w:rPr>
              <w:t>SRND</w:t>
            </w:r>
          </w:p>
        </w:tc>
        <w:tc>
          <w:tcPr>
            <w:tcW w:w="6729" w:type="dxa"/>
            <w:vAlign w:val="center"/>
          </w:tcPr>
          <w:p w14:paraId="6547D69D" w14:textId="77777777" w:rsidR="00160081" w:rsidRPr="00160081" w:rsidRDefault="00160081" w:rsidP="00BD3D91">
            <w:pPr>
              <w:rPr>
                <w:rFonts w:cstheme="minorHAnsi"/>
                <w:color w:val="000000"/>
                <w:sz w:val="20"/>
                <w:szCs w:val="20"/>
              </w:rPr>
            </w:pPr>
            <w:r w:rsidRPr="00160081">
              <w:rPr>
                <w:rFonts w:cstheme="minorHAnsi"/>
                <w:color w:val="000000"/>
                <w:sz w:val="20"/>
                <w:szCs w:val="20"/>
              </w:rPr>
              <w:t>Sistema de Reglas de Negocio y Decisiones</w:t>
            </w:r>
          </w:p>
        </w:tc>
      </w:tr>
    </w:tbl>
    <w:p w14:paraId="1996A02F" w14:textId="77777777" w:rsidR="00160081" w:rsidRPr="00160081" w:rsidRDefault="00160081" w:rsidP="00160081">
      <w:pPr>
        <w:rPr>
          <w:rFonts w:cstheme="minorHAnsi"/>
          <w:sz w:val="20"/>
          <w:szCs w:val="20"/>
        </w:rPr>
      </w:pPr>
    </w:p>
    <w:p w14:paraId="0B24D60E" w14:textId="77777777" w:rsidR="00160081" w:rsidRPr="00160081" w:rsidRDefault="00160081" w:rsidP="00160081">
      <w:pPr>
        <w:pStyle w:val="Ttulo2"/>
        <w:numPr>
          <w:ilvl w:val="0"/>
          <w:numId w:val="132"/>
        </w:numPr>
        <w:tabs>
          <w:tab w:val="num" w:pos="720"/>
        </w:tabs>
        <w:ind w:left="720"/>
        <w:rPr>
          <w:rFonts w:asciiTheme="minorHAnsi" w:eastAsia="Times New Roman" w:hAnsiTheme="minorHAnsi" w:cstheme="minorHAnsi"/>
          <w:b/>
          <w:bCs/>
          <w:color w:val="auto"/>
          <w:sz w:val="20"/>
          <w:szCs w:val="20"/>
        </w:rPr>
      </w:pPr>
      <w:bookmarkStart w:id="139" w:name="_Toc217326239"/>
      <w:r w:rsidRPr="00160081">
        <w:rPr>
          <w:rFonts w:asciiTheme="minorHAnsi" w:eastAsia="Times New Roman" w:hAnsiTheme="minorHAnsi" w:cstheme="minorHAnsi"/>
          <w:b/>
          <w:bCs/>
          <w:color w:val="auto"/>
          <w:sz w:val="20"/>
          <w:szCs w:val="20"/>
        </w:rPr>
        <w:t>Plazo de ejecución</w:t>
      </w:r>
      <w:bookmarkEnd w:id="139"/>
      <w:r w:rsidRPr="00160081">
        <w:rPr>
          <w:rFonts w:asciiTheme="minorHAnsi" w:eastAsia="Times New Roman" w:hAnsiTheme="minorHAnsi" w:cstheme="minorHAnsi"/>
          <w:b/>
          <w:bCs/>
          <w:color w:val="auto"/>
          <w:sz w:val="20"/>
          <w:szCs w:val="20"/>
        </w:rPr>
        <w:t xml:space="preserve"> del contrato</w:t>
      </w:r>
    </w:p>
    <w:p w14:paraId="3B8CA0D1" w14:textId="77777777" w:rsidR="00160081" w:rsidRPr="00160081" w:rsidRDefault="00160081" w:rsidP="00160081">
      <w:pPr>
        <w:jc w:val="both"/>
        <w:rPr>
          <w:rFonts w:cstheme="minorHAnsi"/>
          <w:sz w:val="20"/>
          <w:szCs w:val="20"/>
        </w:rPr>
      </w:pPr>
      <w:r w:rsidRPr="00160081">
        <w:rPr>
          <w:rFonts w:cstheme="minorHAnsi"/>
          <w:sz w:val="20"/>
          <w:szCs w:val="20"/>
        </w:rPr>
        <w:t xml:space="preserve">El plazo total de ejecución del contrato será de hasta </w:t>
      </w:r>
      <w:r w:rsidRPr="00160081">
        <w:rPr>
          <w:rFonts w:cstheme="minorHAnsi"/>
          <w:b/>
          <w:bCs/>
          <w:sz w:val="20"/>
          <w:szCs w:val="20"/>
        </w:rPr>
        <w:t>844 días hábiles</w:t>
      </w:r>
      <w:r w:rsidRPr="00160081">
        <w:rPr>
          <w:rFonts w:cstheme="minorHAnsi"/>
          <w:sz w:val="20"/>
          <w:szCs w:val="20"/>
        </w:rPr>
        <w:t xml:space="preserve">, contados a </w:t>
      </w:r>
      <w:bookmarkStart w:id="140" w:name="OLE_LINK70"/>
      <w:r w:rsidRPr="00160081">
        <w:rPr>
          <w:rFonts w:cstheme="minorHAnsi"/>
          <w:sz w:val="20"/>
          <w:szCs w:val="20"/>
        </w:rPr>
        <w:t xml:space="preserve">partir de la </w:t>
      </w:r>
      <w:bookmarkStart w:id="141" w:name="OLE_LINK72"/>
      <w:r w:rsidRPr="00160081">
        <w:rPr>
          <w:rFonts w:cstheme="minorHAnsi"/>
          <w:sz w:val="20"/>
          <w:szCs w:val="20"/>
        </w:rPr>
        <w:t xml:space="preserve">notificación del Administrador de Contrato </w:t>
      </w:r>
      <w:bookmarkEnd w:id="140"/>
      <w:bookmarkEnd w:id="141"/>
      <w:r w:rsidRPr="00160081">
        <w:rPr>
          <w:rFonts w:cstheme="minorHAnsi"/>
          <w:sz w:val="20"/>
          <w:szCs w:val="20"/>
        </w:rPr>
        <w:t>desglosado de la siguiente manera:</w:t>
      </w:r>
    </w:p>
    <w:p w14:paraId="6C176E5A" w14:textId="77777777" w:rsidR="00616507" w:rsidRDefault="00616507" w:rsidP="00160081">
      <w:pPr>
        <w:jc w:val="both"/>
        <w:rPr>
          <w:rFonts w:cstheme="minorHAnsi"/>
          <w:b/>
          <w:bCs/>
          <w:sz w:val="20"/>
          <w:szCs w:val="20"/>
        </w:rPr>
      </w:pPr>
      <w:bookmarkStart w:id="142" w:name="OLE_LINK57"/>
    </w:p>
    <w:p w14:paraId="79E8497A" w14:textId="31498245" w:rsidR="00160081" w:rsidRPr="00160081" w:rsidRDefault="00160081" w:rsidP="00160081">
      <w:pPr>
        <w:jc w:val="both"/>
        <w:rPr>
          <w:rFonts w:cstheme="minorHAnsi"/>
          <w:b/>
          <w:bCs/>
          <w:sz w:val="20"/>
          <w:szCs w:val="20"/>
        </w:rPr>
      </w:pPr>
      <w:r w:rsidRPr="00160081">
        <w:rPr>
          <w:rFonts w:cstheme="minorHAnsi"/>
          <w:b/>
          <w:bCs/>
          <w:sz w:val="20"/>
          <w:szCs w:val="20"/>
        </w:rPr>
        <w:t>Fase 0: Metodología de Trabajo, Fase 1: Planeación y alcance</w:t>
      </w:r>
    </w:p>
    <w:bookmarkEnd w:id="142"/>
    <w:p w14:paraId="47EFCE5B" w14:textId="77777777" w:rsidR="00160081" w:rsidRPr="00160081" w:rsidRDefault="00160081" w:rsidP="00160081">
      <w:pPr>
        <w:numPr>
          <w:ilvl w:val="0"/>
          <w:numId w:val="14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El plazo para el Kick off será de hasta </w:t>
      </w:r>
      <w:r w:rsidRPr="00160081">
        <w:rPr>
          <w:rFonts w:cstheme="minorHAnsi"/>
          <w:b/>
          <w:bCs/>
          <w:color w:val="000000"/>
          <w:sz w:val="20"/>
          <w:szCs w:val="20"/>
          <w:lang w:eastAsia="es-EC"/>
        </w:rPr>
        <w:t>5 días hábiles</w:t>
      </w:r>
      <w:r w:rsidRPr="00160081">
        <w:rPr>
          <w:rFonts w:cstheme="minorHAnsi"/>
          <w:color w:val="000000"/>
          <w:sz w:val="20"/>
          <w:szCs w:val="20"/>
          <w:lang w:eastAsia="es-EC"/>
        </w:rPr>
        <w:t xml:space="preserve"> contados a partir del </w:t>
      </w:r>
      <w:bookmarkStart w:id="143" w:name="OLE_LINK74"/>
      <w:r w:rsidRPr="00160081">
        <w:rPr>
          <w:rFonts w:cstheme="minorHAnsi"/>
          <w:color w:val="000000"/>
          <w:sz w:val="20"/>
          <w:szCs w:val="20"/>
          <w:lang w:eastAsia="es-EC"/>
        </w:rPr>
        <w:t xml:space="preserve">siguiente </w:t>
      </w:r>
      <w:bookmarkStart w:id="144" w:name="OLE_LINK79"/>
      <w:r w:rsidRPr="00160081">
        <w:rPr>
          <w:rFonts w:cstheme="minorHAnsi"/>
          <w:color w:val="000000"/>
          <w:sz w:val="20"/>
          <w:szCs w:val="20"/>
          <w:lang w:eastAsia="es-EC"/>
        </w:rPr>
        <w:t xml:space="preserve">día de la </w:t>
      </w:r>
      <w:r w:rsidRPr="00160081">
        <w:rPr>
          <w:rFonts w:cstheme="minorHAnsi"/>
          <w:sz w:val="20"/>
          <w:szCs w:val="20"/>
        </w:rPr>
        <w:t xml:space="preserve">notificación del Administrador de Contrato. </w:t>
      </w:r>
      <w:bookmarkEnd w:id="143"/>
    </w:p>
    <w:bookmarkEnd w:id="144"/>
    <w:p w14:paraId="55CC5286" w14:textId="77777777" w:rsidR="00160081" w:rsidRPr="00160081" w:rsidRDefault="00160081" w:rsidP="00160081">
      <w:pPr>
        <w:numPr>
          <w:ilvl w:val="0"/>
          <w:numId w:val="143"/>
        </w:numPr>
        <w:tabs>
          <w:tab w:val="left" w:pos="0"/>
        </w:tabs>
        <w:spacing w:after="0" w:line="240" w:lineRule="auto"/>
        <w:jc w:val="both"/>
        <w:rPr>
          <w:rFonts w:cstheme="minorHAnsi"/>
          <w:b/>
          <w:bCs/>
          <w:color w:val="000000"/>
          <w:sz w:val="20"/>
          <w:szCs w:val="20"/>
          <w:lang w:eastAsia="es-EC"/>
        </w:rPr>
      </w:pPr>
      <w:r w:rsidRPr="00160081">
        <w:rPr>
          <w:rFonts w:cstheme="minorHAnsi"/>
          <w:color w:val="000000"/>
          <w:sz w:val="20"/>
          <w:szCs w:val="20"/>
          <w:lang w:eastAsia="es-EC"/>
        </w:rPr>
        <w:t xml:space="preserve">El plazo de entrega de la Metodología de Trabajo será de hasta </w:t>
      </w:r>
      <w:r w:rsidRPr="00160081">
        <w:rPr>
          <w:rFonts w:cstheme="minorHAnsi"/>
          <w:b/>
          <w:bCs/>
          <w:color w:val="000000"/>
          <w:sz w:val="20"/>
          <w:szCs w:val="20"/>
          <w:lang w:eastAsia="es-EC"/>
        </w:rPr>
        <w:t>10 días hábiles</w:t>
      </w:r>
      <w:r w:rsidRPr="00160081">
        <w:rPr>
          <w:rFonts w:cstheme="minorHAnsi"/>
          <w:color w:val="000000"/>
          <w:sz w:val="20"/>
          <w:szCs w:val="20"/>
          <w:lang w:eastAsia="es-EC"/>
        </w:rPr>
        <w:t xml:space="preserve"> contados a partir del siguiente día de la </w:t>
      </w:r>
      <w:r w:rsidRPr="00160081">
        <w:rPr>
          <w:rFonts w:cstheme="minorHAnsi"/>
          <w:sz w:val="20"/>
          <w:szCs w:val="20"/>
        </w:rPr>
        <w:t>notificación del Administrador de Contrato.</w:t>
      </w:r>
      <w:r w:rsidRPr="00160081">
        <w:rPr>
          <w:rFonts w:cstheme="minorHAnsi"/>
          <w:b/>
          <w:bCs/>
          <w:sz w:val="20"/>
          <w:szCs w:val="20"/>
        </w:rPr>
        <w:t xml:space="preserve"> </w:t>
      </w:r>
    </w:p>
    <w:p w14:paraId="1A86B3E0" w14:textId="77777777" w:rsidR="00160081" w:rsidRPr="00160081" w:rsidRDefault="00160081" w:rsidP="00160081">
      <w:pPr>
        <w:numPr>
          <w:ilvl w:val="0"/>
          <w:numId w:val="143"/>
        </w:numPr>
        <w:tabs>
          <w:tab w:val="left" w:pos="0"/>
        </w:tabs>
        <w:spacing w:after="0" w:line="240" w:lineRule="auto"/>
        <w:jc w:val="both"/>
        <w:rPr>
          <w:rFonts w:cstheme="minorHAnsi"/>
          <w:color w:val="000000"/>
          <w:sz w:val="20"/>
          <w:szCs w:val="20"/>
          <w:lang w:eastAsia="es-EC"/>
        </w:rPr>
      </w:pPr>
      <w:r w:rsidRPr="00160081">
        <w:rPr>
          <w:rFonts w:cstheme="minorHAnsi"/>
          <w:color w:val="000000"/>
          <w:sz w:val="20"/>
          <w:szCs w:val="20"/>
          <w:lang w:eastAsia="es-EC"/>
        </w:rPr>
        <w:t xml:space="preserve">La Metodología de trabajo deberá ser aprobado por el administrador del contrato en un plazo máximo de hasta </w:t>
      </w:r>
      <w:r w:rsidRPr="00160081">
        <w:rPr>
          <w:rFonts w:cstheme="minorHAnsi"/>
          <w:b/>
          <w:bCs/>
          <w:color w:val="000000"/>
          <w:sz w:val="20"/>
          <w:szCs w:val="20"/>
          <w:lang w:eastAsia="es-EC"/>
        </w:rPr>
        <w:t>5</w:t>
      </w:r>
      <w:r w:rsidRPr="00160081">
        <w:rPr>
          <w:rFonts w:cstheme="minorHAnsi"/>
          <w:color w:val="000000"/>
          <w:sz w:val="20"/>
          <w:szCs w:val="20"/>
          <w:lang w:eastAsia="es-EC"/>
        </w:rPr>
        <w:t xml:space="preserve"> </w:t>
      </w:r>
      <w:r w:rsidRPr="00160081">
        <w:rPr>
          <w:rFonts w:cstheme="minorHAnsi"/>
          <w:b/>
          <w:bCs/>
          <w:color w:val="000000"/>
          <w:sz w:val="20"/>
          <w:szCs w:val="20"/>
          <w:lang w:eastAsia="es-EC"/>
        </w:rPr>
        <w:t>días hábiles</w:t>
      </w:r>
      <w:r w:rsidRPr="00160081">
        <w:rPr>
          <w:rFonts w:cstheme="minorHAnsi"/>
          <w:color w:val="000000"/>
          <w:sz w:val="20"/>
          <w:szCs w:val="20"/>
          <w:lang w:eastAsia="es-EC"/>
        </w:rPr>
        <w:t xml:space="preserve">, contados a partir del día siguiente de la entrega del plan por parte del contratista. De existir observaciones por parte del administrador de contrato, las mismas deberán ser subsanadas en un plazo máximo de </w:t>
      </w:r>
      <w:r w:rsidRPr="00160081">
        <w:rPr>
          <w:rFonts w:cstheme="minorHAnsi"/>
          <w:b/>
          <w:bCs/>
          <w:color w:val="000000"/>
          <w:sz w:val="20"/>
          <w:szCs w:val="20"/>
          <w:lang w:eastAsia="es-EC"/>
        </w:rPr>
        <w:t>5 días hábiles</w:t>
      </w:r>
      <w:r w:rsidRPr="00160081">
        <w:rPr>
          <w:rFonts w:cstheme="minorHAnsi"/>
          <w:color w:val="000000"/>
          <w:sz w:val="20"/>
          <w:szCs w:val="20"/>
          <w:lang w:eastAsia="es-EC"/>
        </w:rPr>
        <w:t xml:space="preserve"> contados a partir de la fecha de notificación por parte del Administrador del Contrato.</w:t>
      </w:r>
    </w:p>
    <w:p w14:paraId="201A51A1" w14:textId="77777777" w:rsidR="00160081" w:rsidRPr="00160081" w:rsidRDefault="00160081" w:rsidP="00160081">
      <w:pPr>
        <w:jc w:val="both"/>
        <w:rPr>
          <w:rFonts w:cstheme="minorHAnsi"/>
          <w:b/>
          <w:bCs/>
          <w:sz w:val="20"/>
          <w:szCs w:val="20"/>
        </w:rPr>
      </w:pPr>
      <w:r w:rsidRPr="00160081">
        <w:rPr>
          <w:rFonts w:cstheme="minorHAnsi"/>
          <w:b/>
          <w:bCs/>
          <w:sz w:val="20"/>
          <w:szCs w:val="20"/>
        </w:rPr>
        <w:t>Fase 2: Habilitación del servicio</w:t>
      </w:r>
    </w:p>
    <w:p w14:paraId="02383FF0" w14:textId="77777777" w:rsidR="00160081" w:rsidRPr="00160081" w:rsidRDefault="00160081" w:rsidP="00160081">
      <w:pPr>
        <w:pStyle w:val="NormalWeb"/>
        <w:numPr>
          <w:ilvl w:val="0"/>
          <w:numId w:val="144"/>
        </w:numPr>
        <w:spacing w:after="0" w:line="240" w:lineRule="auto"/>
        <w:jc w:val="both"/>
        <w:rPr>
          <w:rFonts w:asciiTheme="minorHAnsi" w:hAnsiTheme="minorHAnsi" w:cstheme="minorHAnsi"/>
          <w:sz w:val="20"/>
          <w:szCs w:val="20"/>
        </w:rPr>
      </w:pPr>
      <w:r w:rsidRPr="00160081">
        <w:rPr>
          <w:rFonts w:asciiTheme="minorHAnsi" w:hAnsiTheme="minorHAnsi" w:cstheme="minorHAnsi"/>
          <w:sz w:val="20"/>
          <w:szCs w:val="20"/>
        </w:rPr>
        <w:t>Habilitación integral y oportuna de todos los servicios, componentes y capacidades técnicas necesarias para la correcta implementación, puesta en operación y funcionamiento continuo de la suite tecnológica integral, de conformidad con el alcance contractual y los requerimientos técnicos y no funcionales definidos en el presente documento.</w:t>
      </w:r>
    </w:p>
    <w:p w14:paraId="42F993A8" w14:textId="77777777" w:rsidR="00160081" w:rsidRPr="00160081" w:rsidRDefault="00160081" w:rsidP="00160081">
      <w:pPr>
        <w:pStyle w:val="NormalWeb"/>
        <w:numPr>
          <w:ilvl w:val="0"/>
          <w:numId w:val="144"/>
        </w:numPr>
        <w:spacing w:after="0" w:line="240" w:lineRule="auto"/>
        <w:jc w:val="both"/>
        <w:rPr>
          <w:rFonts w:asciiTheme="minorHAnsi" w:hAnsiTheme="minorHAnsi" w:cstheme="minorHAnsi"/>
          <w:sz w:val="20"/>
          <w:szCs w:val="20"/>
        </w:rPr>
      </w:pPr>
      <w:r w:rsidRPr="00160081">
        <w:rPr>
          <w:rFonts w:asciiTheme="minorHAnsi" w:hAnsiTheme="minorHAnsi" w:cstheme="minorHAnsi"/>
          <w:color w:val="000000"/>
          <w:sz w:val="20"/>
          <w:szCs w:val="20"/>
          <w:lang w:eastAsia="es-EC"/>
        </w:rPr>
        <w:t>El contratista notificará al administrador de contrato cuando la solución esté lista y la configuración iniciará en los plazos establecidos en el cronograma desde la notificación por parte del administrador de contrato.</w:t>
      </w:r>
    </w:p>
    <w:p w14:paraId="7BA27A15" w14:textId="77777777" w:rsidR="00160081" w:rsidRPr="00160081" w:rsidRDefault="00160081" w:rsidP="00160081">
      <w:pPr>
        <w:pStyle w:val="NormalWeb"/>
        <w:spacing w:after="0"/>
        <w:ind w:left="720"/>
        <w:jc w:val="both"/>
        <w:rPr>
          <w:rFonts w:asciiTheme="minorHAnsi" w:hAnsiTheme="minorHAnsi" w:cstheme="minorHAnsi"/>
          <w:color w:val="000000"/>
          <w:sz w:val="20"/>
          <w:szCs w:val="20"/>
          <w:lang w:eastAsia="es-EC"/>
        </w:rPr>
      </w:pPr>
    </w:p>
    <w:p w14:paraId="2332779C" w14:textId="77777777" w:rsidR="00160081" w:rsidRPr="00160081" w:rsidRDefault="00160081" w:rsidP="00160081">
      <w:pPr>
        <w:pStyle w:val="NormalWeb"/>
        <w:spacing w:after="0"/>
        <w:ind w:left="720"/>
        <w:jc w:val="both"/>
        <w:rPr>
          <w:rFonts w:asciiTheme="minorHAnsi" w:hAnsiTheme="minorHAnsi" w:cstheme="minorHAnsi"/>
          <w:b/>
          <w:bCs/>
          <w:sz w:val="20"/>
          <w:szCs w:val="20"/>
        </w:rPr>
      </w:pPr>
      <w:r w:rsidRPr="00160081">
        <w:rPr>
          <w:rFonts w:asciiTheme="minorHAnsi" w:hAnsiTheme="minorHAnsi" w:cstheme="minorHAnsi"/>
          <w:b/>
          <w:bCs/>
          <w:color w:val="000000"/>
          <w:sz w:val="20"/>
          <w:szCs w:val="20"/>
          <w:lang w:eastAsia="es-EC"/>
        </w:rPr>
        <w:t>Plazo de 40 días hábiles.</w:t>
      </w:r>
    </w:p>
    <w:p w14:paraId="62235870" w14:textId="77777777" w:rsidR="00160081" w:rsidRPr="00160081" w:rsidRDefault="00160081" w:rsidP="00160081">
      <w:pPr>
        <w:ind w:left="720"/>
        <w:jc w:val="both"/>
        <w:rPr>
          <w:rFonts w:cstheme="minorHAnsi"/>
          <w:sz w:val="20"/>
          <w:szCs w:val="20"/>
        </w:rPr>
      </w:pPr>
    </w:p>
    <w:p w14:paraId="0104A672" w14:textId="77777777" w:rsidR="00160081" w:rsidRPr="00160081" w:rsidRDefault="00160081" w:rsidP="00160081">
      <w:pPr>
        <w:jc w:val="both"/>
        <w:rPr>
          <w:rFonts w:cstheme="minorHAnsi"/>
          <w:b/>
          <w:bCs/>
          <w:sz w:val="20"/>
          <w:szCs w:val="20"/>
        </w:rPr>
      </w:pPr>
      <w:bookmarkStart w:id="145" w:name="OLE_LINK86"/>
      <w:r w:rsidRPr="00160081">
        <w:rPr>
          <w:rFonts w:cstheme="minorHAnsi"/>
          <w:b/>
          <w:bCs/>
          <w:sz w:val="20"/>
          <w:szCs w:val="20"/>
        </w:rPr>
        <w:t>Fase 3: Transferencia de conocimiento</w:t>
      </w:r>
    </w:p>
    <w:p w14:paraId="73FC507C" w14:textId="77777777" w:rsidR="00160081" w:rsidRDefault="00160081" w:rsidP="00160081">
      <w:pPr>
        <w:numPr>
          <w:ilvl w:val="0"/>
          <w:numId w:val="145"/>
        </w:numPr>
        <w:spacing w:after="0" w:line="240" w:lineRule="auto"/>
        <w:jc w:val="both"/>
        <w:rPr>
          <w:rFonts w:cstheme="minorHAnsi"/>
          <w:sz w:val="20"/>
          <w:szCs w:val="20"/>
        </w:rPr>
      </w:pPr>
      <w:r w:rsidRPr="00160081">
        <w:rPr>
          <w:rFonts w:cstheme="minorHAnsi"/>
          <w:sz w:val="20"/>
          <w:szCs w:val="20"/>
        </w:rPr>
        <w:t xml:space="preserve">El contratista ejecutará la transferencia de conocimientos especializados conforme lo establecido en la sección 9.3, en un plazo máximo de hasta </w:t>
      </w:r>
      <w:r w:rsidRPr="00160081">
        <w:rPr>
          <w:rFonts w:cstheme="minorHAnsi"/>
          <w:b/>
          <w:bCs/>
          <w:sz w:val="20"/>
          <w:szCs w:val="20"/>
        </w:rPr>
        <w:t>304 días hábiles</w:t>
      </w:r>
      <w:r w:rsidRPr="00160081">
        <w:rPr>
          <w:rFonts w:cstheme="minorHAnsi"/>
          <w:sz w:val="20"/>
          <w:szCs w:val="20"/>
        </w:rPr>
        <w:t xml:space="preserve">, contados a partir de la firma de la aprobación de la Metodología de Trabajo por parte del administrador del contrato; la ejecución se realizará de manera paralela a las Fases 2 y 5 según el detalle: </w:t>
      </w:r>
    </w:p>
    <w:p w14:paraId="19E3CC01" w14:textId="77777777" w:rsidR="00616507" w:rsidRPr="00160081" w:rsidRDefault="00616507" w:rsidP="00616507">
      <w:pPr>
        <w:spacing w:after="0" w:line="240" w:lineRule="auto"/>
        <w:ind w:left="720"/>
        <w:jc w:val="both"/>
        <w:rPr>
          <w:rFonts w:cstheme="minorHAnsi"/>
          <w:sz w:val="20"/>
          <w:szCs w:val="20"/>
        </w:rPr>
      </w:pPr>
    </w:p>
    <w:p w14:paraId="2B41C7D8" w14:textId="77777777" w:rsidR="00160081" w:rsidRPr="00160081" w:rsidRDefault="00160081" w:rsidP="00160081">
      <w:pPr>
        <w:pStyle w:val="Prrafodelista"/>
        <w:numPr>
          <w:ilvl w:val="1"/>
          <w:numId w:val="163"/>
        </w:numPr>
        <w:spacing w:after="0" w:line="240" w:lineRule="auto"/>
        <w:ind w:left="993" w:hanging="284"/>
        <w:jc w:val="both"/>
        <w:rPr>
          <w:rFonts w:cstheme="minorHAnsi"/>
          <w:sz w:val="20"/>
          <w:szCs w:val="20"/>
        </w:rPr>
      </w:pPr>
      <w:r w:rsidRPr="00160081">
        <w:rPr>
          <w:rFonts w:cstheme="minorHAnsi"/>
          <w:sz w:val="20"/>
          <w:szCs w:val="20"/>
        </w:rPr>
        <w:t>Fase 2 (40 días): conforme los puntos 9.2, 9.4 y lo relacionado a la habilitación del servicio (Fase 2).</w:t>
      </w:r>
    </w:p>
    <w:p w14:paraId="159C8423" w14:textId="77777777" w:rsidR="00160081" w:rsidRPr="00160081" w:rsidRDefault="00160081" w:rsidP="00160081">
      <w:pPr>
        <w:pStyle w:val="Prrafodelista"/>
        <w:numPr>
          <w:ilvl w:val="1"/>
          <w:numId w:val="163"/>
        </w:numPr>
        <w:spacing w:after="0" w:line="240" w:lineRule="auto"/>
        <w:ind w:left="993" w:hanging="284"/>
        <w:jc w:val="both"/>
        <w:rPr>
          <w:rFonts w:cstheme="minorHAnsi"/>
          <w:sz w:val="20"/>
          <w:szCs w:val="20"/>
        </w:rPr>
      </w:pPr>
      <w:r w:rsidRPr="00160081">
        <w:rPr>
          <w:rFonts w:cstheme="minorHAnsi"/>
          <w:sz w:val="20"/>
          <w:szCs w:val="20"/>
        </w:rPr>
        <w:t>Fase 5 (264 días): conforme a la ejecución y finalización de cada caso de uso, así como, de las órdenes de trabajo según corresponda.</w:t>
      </w:r>
    </w:p>
    <w:p w14:paraId="3085DDF3" w14:textId="77777777" w:rsidR="00160081" w:rsidRPr="00160081" w:rsidRDefault="00160081" w:rsidP="00160081">
      <w:pPr>
        <w:ind w:left="720"/>
        <w:jc w:val="both"/>
        <w:rPr>
          <w:rFonts w:cstheme="minorHAnsi"/>
          <w:sz w:val="20"/>
          <w:szCs w:val="20"/>
        </w:rPr>
      </w:pPr>
    </w:p>
    <w:p w14:paraId="1AA085B3" w14:textId="77777777" w:rsidR="00160081" w:rsidRPr="00160081" w:rsidRDefault="00160081" w:rsidP="00160081">
      <w:pPr>
        <w:numPr>
          <w:ilvl w:val="0"/>
          <w:numId w:val="145"/>
        </w:numPr>
        <w:spacing w:after="0" w:line="240" w:lineRule="auto"/>
        <w:jc w:val="both"/>
        <w:rPr>
          <w:rFonts w:cstheme="minorHAnsi"/>
          <w:sz w:val="20"/>
          <w:szCs w:val="20"/>
        </w:rPr>
      </w:pPr>
      <w:r w:rsidRPr="00160081">
        <w:rPr>
          <w:rFonts w:cstheme="minorHAnsi"/>
          <w:sz w:val="20"/>
          <w:szCs w:val="20"/>
        </w:rPr>
        <w:t xml:space="preserve">El contratista entregará al administrador de contrato el Informe Final que respalde la ejecución de la transferencia de conocimientos en un plazo de hasta </w:t>
      </w:r>
      <w:r w:rsidRPr="00160081">
        <w:rPr>
          <w:rFonts w:cstheme="minorHAnsi"/>
          <w:b/>
          <w:bCs/>
          <w:sz w:val="20"/>
          <w:szCs w:val="20"/>
        </w:rPr>
        <w:t>10 días hábiles</w:t>
      </w:r>
      <w:r w:rsidRPr="00160081">
        <w:rPr>
          <w:rFonts w:cstheme="minorHAnsi"/>
          <w:sz w:val="20"/>
          <w:szCs w:val="20"/>
        </w:rPr>
        <w:t>, contados a partir del siguiente día hábil de la finalización de la transferencia de conocimientos.</w:t>
      </w:r>
    </w:p>
    <w:p w14:paraId="1B35F660" w14:textId="77777777" w:rsidR="00160081" w:rsidRPr="00160081" w:rsidRDefault="00160081" w:rsidP="00160081">
      <w:pPr>
        <w:jc w:val="both"/>
        <w:rPr>
          <w:rFonts w:cstheme="minorHAnsi"/>
          <w:color w:val="FF0000"/>
          <w:sz w:val="20"/>
          <w:szCs w:val="20"/>
        </w:rPr>
      </w:pPr>
    </w:p>
    <w:p w14:paraId="359C537C" w14:textId="493B8002" w:rsidR="00616507" w:rsidRPr="00160081" w:rsidRDefault="00160081" w:rsidP="00160081">
      <w:pPr>
        <w:jc w:val="both"/>
        <w:rPr>
          <w:rFonts w:cstheme="minorHAnsi"/>
          <w:b/>
          <w:bCs/>
          <w:sz w:val="20"/>
          <w:szCs w:val="20"/>
        </w:rPr>
      </w:pPr>
      <w:r w:rsidRPr="00160081">
        <w:rPr>
          <w:rFonts w:cstheme="minorHAnsi"/>
          <w:b/>
          <w:bCs/>
          <w:sz w:val="20"/>
          <w:szCs w:val="20"/>
        </w:rPr>
        <w:t>Fase 4: Soporte y mantenimiento</w:t>
      </w:r>
    </w:p>
    <w:p w14:paraId="68BB4CA9" w14:textId="77777777" w:rsidR="00160081" w:rsidRPr="00160081" w:rsidRDefault="00160081" w:rsidP="00160081">
      <w:pPr>
        <w:numPr>
          <w:ilvl w:val="0"/>
          <w:numId w:val="159"/>
        </w:numPr>
        <w:spacing w:after="0" w:line="240" w:lineRule="auto"/>
        <w:jc w:val="both"/>
        <w:rPr>
          <w:rFonts w:cstheme="minorHAnsi"/>
          <w:sz w:val="20"/>
          <w:szCs w:val="20"/>
        </w:rPr>
      </w:pPr>
      <w:r w:rsidRPr="00160081">
        <w:rPr>
          <w:rFonts w:cstheme="minorHAnsi"/>
          <w:sz w:val="20"/>
          <w:szCs w:val="20"/>
        </w:rPr>
        <w:t xml:space="preserve">El plazo de vigencia para los servicios de soporte y mantenimiento será de hasta </w:t>
      </w:r>
      <w:r w:rsidRPr="00160081">
        <w:rPr>
          <w:rFonts w:cstheme="minorHAnsi"/>
          <w:b/>
          <w:bCs/>
          <w:sz w:val="20"/>
          <w:szCs w:val="20"/>
        </w:rPr>
        <w:t>784 días hábiles</w:t>
      </w:r>
      <w:r w:rsidRPr="00160081">
        <w:rPr>
          <w:rFonts w:cstheme="minorHAnsi"/>
          <w:sz w:val="20"/>
          <w:szCs w:val="20"/>
        </w:rPr>
        <w:t xml:space="preserve"> contados a partir del </w:t>
      </w:r>
      <w:bookmarkStart w:id="146" w:name="OLE_LINK87"/>
      <w:r w:rsidRPr="00160081">
        <w:rPr>
          <w:rFonts w:cstheme="minorHAnsi"/>
          <w:sz w:val="20"/>
          <w:szCs w:val="20"/>
        </w:rPr>
        <w:t>siguiente día de la suscripción del acta de entrega recepción de la ejecución de la fase 2.</w:t>
      </w:r>
    </w:p>
    <w:p w14:paraId="7478D06C" w14:textId="77777777" w:rsidR="00160081" w:rsidRPr="00160081" w:rsidRDefault="00160081" w:rsidP="00160081">
      <w:pPr>
        <w:ind w:left="720"/>
        <w:jc w:val="both"/>
        <w:rPr>
          <w:rFonts w:cstheme="minorHAnsi"/>
          <w:sz w:val="20"/>
          <w:szCs w:val="20"/>
        </w:rPr>
      </w:pPr>
    </w:p>
    <w:bookmarkEnd w:id="146"/>
    <w:p w14:paraId="59E0C80D" w14:textId="77777777" w:rsidR="00160081" w:rsidRPr="00160081" w:rsidRDefault="00160081" w:rsidP="00160081">
      <w:pPr>
        <w:pStyle w:val="Prrafodelista"/>
        <w:numPr>
          <w:ilvl w:val="0"/>
          <w:numId w:val="159"/>
        </w:numPr>
        <w:spacing w:after="0" w:line="240" w:lineRule="auto"/>
        <w:jc w:val="both"/>
        <w:rPr>
          <w:rFonts w:cstheme="minorHAnsi"/>
          <w:sz w:val="20"/>
          <w:szCs w:val="20"/>
        </w:rPr>
      </w:pPr>
      <w:r w:rsidRPr="00160081">
        <w:rPr>
          <w:rFonts w:cstheme="minorHAnsi"/>
          <w:sz w:val="20"/>
          <w:szCs w:val="20"/>
        </w:rPr>
        <w:t>3 meses de garantía técnica sobre la implementación, contados a partir de la suscripción del acta de entrega recepción definitiva de la suite tecnológica integral.</w:t>
      </w:r>
    </w:p>
    <w:bookmarkEnd w:id="145"/>
    <w:p w14:paraId="1F678EA4" w14:textId="77777777" w:rsidR="00160081" w:rsidRPr="00160081" w:rsidRDefault="00160081" w:rsidP="00160081">
      <w:pPr>
        <w:jc w:val="both"/>
        <w:rPr>
          <w:rFonts w:cstheme="minorHAnsi"/>
          <w:sz w:val="20"/>
          <w:szCs w:val="20"/>
        </w:rPr>
      </w:pPr>
    </w:p>
    <w:p w14:paraId="62D7DCFA" w14:textId="77777777" w:rsidR="00160081" w:rsidRPr="00160081" w:rsidRDefault="00160081" w:rsidP="00160081">
      <w:pPr>
        <w:jc w:val="both"/>
        <w:rPr>
          <w:rFonts w:cstheme="minorHAnsi"/>
          <w:b/>
          <w:bCs/>
          <w:sz w:val="20"/>
          <w:szCs w:val="20"/>
        </w:rPr>
      </w:pPr>
      <w:r w:rsidRPr="00160081">
        <w:rPr>
          <w:rFonts w:cstheme="minorHAnsi"/>
          <w:b/>
          <w:bCs/>
          <w:sz w:val="20"/>
          <w:szCs w:val="20"/>
        </w:rPr>
        <w:t>Fase 5: Implementación de casos de uso</w:t>
      </w:r>
    </w:p>
    <w:p w14:paraId="0E4553E4" w14:textId="77777777" w:rsidR="00160081" w:rsidRPr="00160081" w:rsidRDefault="00160081" w:rsidP="00160081">
      <w:pPr>
        <w:jc w:val="both"/>
        <w:rPr>
          <w:rFonts w:cstheme="minorHAnsi"/>
          <w:b/>
          <w:bCs/>
          <w:sz w:val="20"/>
          <w:szCs w:val="20"/>
        </w:rPr>
      </w:pPr>
    </w:p>
    <w:p w14:paraId="14B008FA" w14:textId="77777777" w:rsidR="00160081" w:rsidRPr="00160081" w:rsidRDefault="00160081" w:rsidP="00160081">
      <w:pPr>
        <w:numPr>
          <w:ilvl w:val="0"/>
          <w:numId w:val="160"/>
        </w:numPr>
        <w:spacing w:after="0" w:line="240" w:lineRule="auto"/>
        <w:jc w:val="both"/>
        <w:rPr>
          <w:rFonts w:cstheme="minorHAnsi"/>
          <w:sz w:val="20"/>
          <w:szCs w:val="20"/>
        </w:rPr>
      </w:pPr>
      <w:r w:rsidRPr="00160081">
        <w:rPr>
          <w:rFonts w:cstheme="minorHAnsi"/>
          <w:sz w:val="20"/>
          <w:szCs w:val="20"/>
        </w:rPr>
        <w:t xml:space="preserve">El contratista ejecutará la implementación de los 9 casos de uso, en un plazo máximo de hasta </w:t>
      </w:r>
      <w:r w:rsidRPr="00160081">
        <w:rPr>
          <w:rFonts w:cstheme="minorHAnsi"/>
          <w:b/>
          <w:bCs/>
          <w:sz w:val="20"/>
          <w:szCs w:val="20"/>
        </w:rPr>
        <w:t>264 días hábiles</w:t>
      </w:r>
      <w:r w:rsidRPr="00160081">
        <w:rPr>
          <w:rFonts w:cstheme="minorHAnsi"/>
          <w:sz w:val="20"/>
          <w:szCs w:val="20"/>
        </w:rPr>
        <w:t xml:space="preserve">, contados a </w:t>
      </w:r>
      <w:bookmarkStart w:id="147" w:name="OLE_LINK64"/>
      <w:r w:rsidRPr="00160081">
        <w:rPr>
          <w:rFonts w:cstheme="minorHAnsi"/>
          <w:sz w:val="20"/>
          <w:szCs w:val="20"/>
        </w:rPr>
        <w:t xml:space="preserve">partir de la suscripción del acta de entrega recepción de la ejecución de la fase 2. </w:t>
      </w:r>
      <w:bookmarkEnd w:id="147"/>
      <w:r w:rsidRPr="00160081">
        <w:rPr>
          <w:rFonts w:cstheme="minorHAnsi"/>
          <w:sz w:val="20"/>
          <w:szCs w:val="20"/>
        </w:rPr>
        <w:t>El pago se realizará conforme la aceptación del administrador de contrato de la ejecución por cada caso de uso.</w:t>
      </w:r>
    </w:p>
    <w:p w14:paraId="40552CAC" w14:textId="77777777" w:rsidR="00160081" w:rsidRPr="00160081" w:rsidRDefault="00160081" w:rsidP="00160081">
      <w:pPr>
        <w:jc w:val="both"/>
        <w:rPr>
          <w:rFonts w:cstheme="minorHAnsi"/>
          <w:sz w:val="20"/>
          <w:szCs w:val="20"/>
        </w:rPr>
      </w:pPr>
    </w:p>
    <w:p w14:paraId="1E9F91C3" w14:textId="77777777" w:rsidR="00160081" w:rsidRPr="00160081" w:rsidRDefault="00160081" w:rsidP="00160081">
      <w:pPr>
        <w:jc w:val="both"/>
        <w:rPr>
          <w:rFonts w:cstheme="minorHAnsi"/>
          <w:b/>
          <w:bCs/>
          <w:sz w:val="20"/>
          <w:szCs w:val="20"/>
        </w:rPr>
      </w:pPr>
      <w:bookmarkStart w:id="148" w:name="OLE_LINK65"/>
      <w:r w:rsidRPr="00160081">
        <w:rPr>
          <w:rFonts w:cstheme="minorHAnsi"/>
          <w:b/>
          <w:bCs/>
          <w:sz w:val="20"/>
          <w:szCs w:val="20"/>
        </w:rPr>
        <w:t>Fase 6: Atención de órdenes de trabajo</w:t>
      </w:r>
      <w:bookmarkEnd w:id="148"/>
    </w:p>
    <w:p w14:paraId="6AA7A00F" w14:textId="77777777" w:rsidR="00160081" w:rsidRPr="00160081" w:rsidRDefault="00160081" w:rsidP="00160081">
      <w:pPr>
        <w:jc w:val="both"/>
        <w:rPr>
          <w:rFonts w:cstheme="minorHAnsi"/>
          <w:b/>
          <w:bCs/>
          <w:sz w:val="20"/>
          <w:szCs w:val="20"/>
        </w:rPr>
      </w:pPr>
    </w:p>
    <w:p w14:paraId="3BB43E75" w14:textId="77777777" w:rsidR="00160081" w:rsidRPr="00160081" w:rsidRDefault="00160081" w:rsidP="00160081">
      <w:pPr>
        <w:numPr>
          <w:ilvl w:val="0"/>
          <w:numId w:val="147"/>
        </w:numPr>
        <w:spacing w:after="0" w:line="240" w:lineRule="auto"/>
        <w:jc w:val="both"/>
        <w:rPr>
          <w:rFonts w:cstheme="minorHAnsi"/>
          <w:sz w:val="20"/>
          <w:szCs w:val="20"/>
        </w:rPr>
      </w:pPr>
      <w:r w:rsidRPr="00160081">
        <w:rPr>
          <w:rFonts w:cstheme="minorHAnsi"/>
          <w:sz w:val="20"/>
          <w:szCs w:val="20"/>
        </w:rPr>
        <w:t>El contratista debe cumplir con el tiempo acordado en la orden de trabajo.</w:t>
      </w:r>
    </w:p>
    <w:p w14:paraId="0CCCF4A2" w14:textId="77777777" w:rsidR="00160081" w:rsidRPr="00160081" w:rsidRDefault="00160081" w:rsidP="00160081">
      <w:pPr>
        <w:numPr>
          <w:ilvl w:val="0"/>
          <w:numId w:val="147"/>
        </w:numPr>
        <w:spacing w:after="0" w:line="240" w:lineRule="auto"/>
        <w:jc w:val="both"/>
        <w:rPr>
          <w:rFonts w:cstheme="minorHAnsi"/>
          <w:sz w:val="20"/>
          <w:szCs w:val="20"/>
        </w:rPr>
      </w:pPr>
      <w:r w:rsidRPr="00160081">
        <w:rPr>
          <w:rFonts w:cstheme="minorHAnsi"/>
          <w:sz w:val="20"/>
          <w:szCs w:val="20"/>
        </w:rPr>
        <w:t xml:space="preserve">Se podrán realizar ordenes de trabajo para atender el desarrollo de nuevos requerimientos a partir de la suscripción del acta de entrega recepción de la ejecución de la fase 2. </w:t>
      </w:r>
    </w:p>
    <w:p w14:paraId="2DD1B46F" w14:textId="77777777" w:rsidR="00160081" w:rsidRPr="00160081" w:rsidRDefault="00160081" w:rsidP="00160081">
      <w:pPr>
        <w:jc w:val="both"/>
        <w:rPr>
          <w:rFonts w:cstheme="minorHAnsi"/>
          <w:b/>
          <w:bCs/>
          <w:sz w:val="20"/>
          <w:szCs w:val="20"/>
        </w:rPr>
      </w:pPr>
    </w:p>
    <w:p w14:paraId="07EE935E" w14:textId="77777777" w:rsidR="00CA02A6" w:rsidRPr="00616507" w:rsidRDefault="00CA02A6" w:rsidP="00CA02A6">
      <w:pPr>
        <w:pStyle w:val="Ttulo2"/>
        <w:numPr>
          <w:ilvl w:val="0"/>
          <w:numId w:val="132"/>
        </w:numPr>
        <w:tabs>
          <w:tab w:val="num" w:pos="720"/>
        </w:tabs>
        <w:ind w:left="720"/>
        <w:rPr>
          <w:rFonts w:ascii="Calibri" w:eastAsia="Times New Roman" w:hAnsi="Calibri" w:cs="Calibri"/>
          <w:b/>
          <w:bCs/>
          <w:color w:val="auto"/>
          <w:sz w:val="20"/>
          <w:szCs w:val="20"/>
        </w:rPr>
      </w:pPr>
      <w:bookmarkStart w:id="149" w:name="_Toc217326240"/>
      <w:r w:rsidRPr="00616507">
        <w:rPr>
          <w:rFonts w:ascii="Calibri" w:eastAsia="Times New Roman" w:hAnsi="Calibri" w:cs="Calibri"/>
          <w:b/>
          <w:bCs/>
          <w:color w:val="auto"/>
          <w:sz w:val="20"/>
          <w:szCs w:val="20"/>
        </w:rPr>
        <w:t>Forma y condiciones de pago</w:t>
      </w:r>
    </w:p>
    <w:bookmarkEnd w:id="149"/>
    <w:p w14:paraId="6698277B" w14:textId="77777777" w:rsidR="00CA02A6" w:rsidRPr="00616507" w:rsidRDefault="00CA02A6" w:rsidP="00CA02A6">
      <w:pPr>
        <w:rPr>
          <w:rFonts w:ascii="Calibri" w:hAnsi="Calibri" w:cs="Calibri"/>
          <w:b/>
          <w:bCs/>
          <w:sz w:val="20"/>
          <w:szCs w:val="20"/>
        </w:rPr>
      </w:pPr>
    </w:p>
    <w:p w14:paraId="762F8B92" w14:textId="77777777" w:rsidR="00CA02A6" w:rsidRPr="00616507" w:rsidRDefault="00CA02A6" w:rsidP="00CA02A6">
      <w:pPr>
        <w:jc w:val="both"/>
        <w:rPr>
          <w:rFonts w:ascii="Calibri" w:hAnsi="Calibri" w:cs="Calibri"/>
          <w:sz w:val="20"/>
          <w:szCs w:val="20"/>
        </w:rPr>
      </w:pPr>
      <w:r w:rsidRPr="00616507">
        <w:rPr>
          <w:rFonts w:ascii="Calibri" w:hAnsi="Calibri" w:cs="Calibri"/>
          <w:sz w:val="20"/>
          <w:szCs w:val="20"/>
        </w:rPr>
        <w:t xml:space="preserve">El Servicio de Rentas Internas pagará al contratista, de la siguiente manera: </w:t>
      </w:r>
    </w:p>
    <w:p w14:paraId="190A63D7" w14:textId="77777777" w:rsidR="00CA02A6" w:rsidRPr="00616507" w:rsidRDefault="00CA02A6" w:rsidP="00CA02A6">
      <w:pPr>
        <w:jc w:val="both"/>
        <w:rPr>
          <w:rFonts w:ascii="Calibri" w:hAnsi="Calibri" w:cs="Calibri"/>
          <w:sz w:val="20"/>
          <w:szCs w:val="20"/>
        </w:rPr>
      </w:pPr>
    </w:p>
    <w:p w14:paraId="3EA4F610" w14:textId="77777777" w:rsidR="00CA02A6" w:rsidRPr="00616507" w:rsidRDefault="00CA02A6" w:rsidP="00CA02A6">
      <w:pPr>
        <w:jc w:val="both"/>
        <w:rPr>
          <w:rFonts w:ascii="Calibri" w:hAnsi="Calibri" w:cs="Calibri"/>
          <w:b/>
          <w:bCs/>
          <w:sz w:val="20"/>
          <w:szCs w:val="20"/>
        </w:rPr>
      </w:pPr>
      <w:r w:rsidRPr="00616507">
        <w:rPr>
          <w:rFonts w:ascii="Calibri" w:hAnsi="Calibri" w:cs="Calibri"/>
          <w:b/>
          <w:bCs/>
          <w:sz w:val="20"/>
          <w:szCs w:val="20"/>
        </w:rPr>
        <w:t>Primer pago: cumplimiento de las fases 0, 1 y 2</w:t>
      </w:r>
    </w:p>
    <w:p w14:paraId="59809E2D" w14:textId="77777777" w:rsidR="00CA02A6" w:rsidRPr="00616507" w:rsidRDefault="00CA02A6" w:rsidP="00CA02A6">
      <w:pPr>
        <w:jc w:val="both"/>
        <w:rPr>
          <w:rFonts w:ascii="Calibri" w:hAnsi="Calibri" w:cs="Calibri"/>
          <w:sz w:val="20"/>
          <w:szCs w:val="20"/>
        </w:rPr>
      </w:pPr>
    </w:p>
    <w:p w14:paraId="3641006F" w14:textId="77777777" w:rsidR="00CA02A6" w:rsidRPr="00616507" w:rsidRDefault="00CA02A6" w:rsidP="00CA02A6">
      <w:pPr>
        <w:jc w:val="both"/>
        <w:rPr>
          <w:rFonts w:ascii="Calibri" w:hAnsi="Calibri" w:cs="Calibri"/>
          <w:sz w:val="20"/>
          <w:szCs w:val="20"/>
        </w:rPr>
      </w:pPr>
      <w:r w:rsidRPr="00616507">
        <w:rPr>
          <w:rFonts w:ascii="Calibri" w:hAnsi="Calibri" w:cs="Calibri"/>
          <w:sz w:val="20"/>
          <w:szCs w:val="20"/>
        </w:rPr>
        <w:t xml:space="preserve">Contra entrega: El 100% de este rubro se pagará contra entrega, a entera satisfacción del SRI, previa presentación de la planilla de pago y las actas entrega recepción de los requisitos establecidos de la sección de la Metodología de Trabajo, Planeación y alcance e informe final de habilitación del servicio. </w:t>
      </w:r>
    </w:p>
    <w:p w14:paraId="76BA853A" w14:textId="77777777" w:rsidR="00CA02A6" w:rsidRPr="00616507" w:rsidRDefault="00CA02A6" w:rsidP="00CA02A6">
      <w:pPr>
        <w:jc w:val="both"/>
        <w:rPr>
          <w:rFonts w:ascii="Calibri" w:hAnsi="Calibri" w:cs="Calibri"/>
          <w:sz w:val="20"/>
          <w:szCs w:val="20"/>
        </w:rPr>
      </w:pPr>
    </w:p>
    <w:p w14:paraId="6C95F947" w14:textId="77777777" w:rsidR="00CA02A6" w:rsidRPr="00616507" w:rsidRDefault="00CA02A6" w:rsidP="00CA02A6">
      <w:pPr>
        <w:jc w:val="both"/>
        <w:rPr>
          <w:rFonts w:ascii="Calibri" w:hAnsi="Calibri" w:cs="Calibri"/>
          <w:b/>
          <w:bCs/>
          <w:sz w:val="20"/>
          <w:szCs w:val="20"/>
        </w:rPr>
      </w:pPr>
      <w:r w:rsidRPr="00616507">
        <w:rPr>
          <w:rFonts w:ascii="Calibri" w:hAnsi="Calibri" w:cs="Calibri"/>
          <w:b/>
          <w:bCs/>
          <w:sz w:val="20"/>
          <w:szCs w:val="20"/>
        </w:rPr>
        <w:t>Segundo pago:</w:t>
      </w:r>
      <w:r w:rsidRPr="00616507">
        <w:rPr>
          <w:rFonts w:ascii="Calibri" w:hAnsi="Calibri" w:cs="Calibri"/>
          <w:sz w:val="20"/>
          <w:szCs w:val="20"/>
        </w:rPr>
        <w:t xml:space="preserve"> </w:t>
      </w:r>
      <w:bookmarkStart w:id="150" w:name="OLE_LINK29"/>
      <w:bookmarkStart w:id="151" w:name="OLE_LINK68"/>
      <w:r w:rsidRPr="00616507">
        <w:rPr>
          <w:rFonts w:ascii="Calibri" w:hAnsi="Calibri" w:cs="Calibri"/>
          <w:b/>
          <w:bCs/>
          <w:sz w:val="20"/>
          <w:szCs w:val="20"/>
        </w:rPr>
        <w:t>cumplimiento</w:t>
      </w:r>
      <w:bookmarkEnd w:id="150"/>
      <w:r w:rsidRPr="00616507">
        <w:rPr>
          <w:rFonts w:ascii="Calibri" w:hAnsi="Calibri" w:cs="Calibri"/>
          <w:b/>
          <w:bCs/>
          <w:sz w:val="20"/>
          <w:szCs w:val="20"/>
        </w:rPr>
        <w:t xml:space="preserve"> de las fases 3 y 5</w:t>
      </w:r>
    </w:p>
    <w:bookmarkEnd w:id="151"/>
    <w:p w14:paraId="508918B2" w14:textId="77777777" w:rsidR="00CA02A6" w:rsidRPr="00616507" w:rsidRDefault="00CA02A6" w:rsidP="00CA02A6">
      <w:pPr>
        <w:jc w:val="both"/>
        <w:rPr>
          <w:rFonts w:ascii="Calibri" w:hAnsi="Calibri" w:cs="Calibri"/>
          <w:sz w:val="20"/>
          <w:szCs w:val="20"/>
        </w:rPr>
      </w:pPr>
    </w:p>
    <w:p w14:paraId="368540E7" w14:textId="77777777" w:rsidR="00CA02A6" w:rsidRPr="00616507" w:rsidRDefault="00CA02A6" w:rsidP="00CA02A6">
      <w:pPr>
        <w:jc w:val="both"/>
        <w:rPr>
          <w:rFonts w:ascii="Calibri" w:hAnsi="Calibri" w:cs="Calibri"/>
          <w:sz w:val="20"/>
          <w:szCs w:val="20"/>
        </w:rPr>
      </w:pPr>
      <w:r w:rsidRPr="00616507">
        <w:rPr>
          <w:rFonts w:ascii="Calibri" w:hAnsi="Calibri" w:cs="Calibri"/>
          <w:sz w:val="20"/>
          <w:szCs w:val="20"/>
        </w:rPr>
        <w:t xml:space="preserve">Representa el valor facturado exclusivamente por el desarrollo e implementación del caso de uso (componente intelectual), este rubro se pagará de forma trimestral por los casos de uso finalizados y entregados en el periodo correspondiente. Para estos pagos se requerirá la presentación de la planilla de pago con el detalle de las actividades ejecutadas y el acta entrega recepción correspondiente debidamente aprobada por los responsables funcionales de los casos de uso y entregadas al administrador del contrato. </w:t>
      </w:r>
    </w:p>
    <w:p w14:paraId="3117A866" w14:textId="77777777" w:rsidR="00CA02A6" w:rsidRPr="00616507" w:rsidRDefault="00CA02A6" w:rsidP="00CA02A6">
      <w:pPr>
        <w:jc w:val="both"/>
        <w:rPr>
          <w:rFonts w:ascii="Calibri" w:hAnsi="Calibri" w:cs="Calibri"/>
          <w:sz w:val="20"/>
          <w:szCs w:val="20"/>
        </w:rPr>
      </w:pPr>
    </w:p>
    <w:p w14:paraId="73A419A8" w14:textId="77777777" w:rsidR="00CA02A6" w:rsidRPr="00616507" w:rsidRDefault="00CA02A6" w:rsidP="00CA02A6">
      <w:pPr>
        <w:jc w:val="both"/>
        <w:rPr>
          <w:rFonts w:ascii="Calibri" w:hAnsi="Calibri" w:cs="Calibri"/>
          <w:sz w:val="20"/>
          <w:szCs w:val="20"/>
        </w:rPr>
      </w:pPr>
      <w:r w:rsidRPr="00616507">
        <w:rPr>
          <w:rFonts w:ascii="Calibri" w:hAnsi="Calibri" w:cs="Calibri"/>
          <w:sz w:val="20"/>
          <w:szCs w:val="20"/>
        </w:rPr>
        <w:t>El uso progresivo de los recursos tecnológico (pago por consumo) utilizados para la implementación de los casos de uso serán facturados y cancelados de acuerdo con las condiciones previstas en el segundo pago “Suscripción del servicio y/o pago por uso de la solución tecnológica a implementar”.</w:t>
      </w:r>
    </w:p>
    <w:p w14:paraId="7979429B" w14:textId="77777777" w:rsidR="00CA02A6" w:rsidRPr="00616507" w:rsidRDefault="00CA02A6" w:rsidP="00CA02A6">
      <w:pPr>
        <w:jc w:val="both"/>
        <w:rPr>
          <w:rFonts w:ascii="Calibri" w:hAnsi="Calibri" w:cs="Calibri"/>
          <w:sz w:val="20"/>
          <w:szCs w:val="20"/>
        </w:rPr>
      </w:pPr>
    </w:p>
    <w:p w14:paraId="3BFD28D3" w14:textId="77777777" w:rsidR="00CA02A6" w:rsidRPr="00616507" w:rsidRDefault="00CA02A6" w:rsidP="00CA02A6">
      <w:pPr>
        <w:jc w:val="both"/>
        <w:rPr>
          <w:rFonts w:ascii="Calibri" w:hAnsi="Calibri" w:cs="Calibri"/>
          <w:b/>
          <w:bCs/>
          <w:sz w:val="20"/>
          <w:szCs w:val="20"/>
        </w:rPr>
      </w:pPr>
      <w:r w:rsidRPr="00616507">
        <w:rPr>
          <w:rFonts w:ascii="Calibri" w:hAnsi="Calibri" w:cs="Calibri"/>
          <w:b/>
          <w:bCs/>
          <w:sz w:val="20"/>
          <w:szCs w:val="20"/>
        </w:rPr>
        <w:t>Cuarto pago: cumplimiento de la fase 6</w:t>
      </w:r>
    </w:p>
    <w:p w14:paraId="7A13EB82" w14:textId="77777777" w:rsidR="00CA02A6" w:rsidRPr="00616507" w:rsidRDefault="00CA02A6" w:rsidP="00CA02A6">
      <w:pPr>
        <w:jc w:val="both"/>
        <w:rPr>
          <w:rFonts w:ascii="Calibri" w:hAnsi="Calibri" w:cs="Calibri"/>
          <w:sz w:val="20"/>
          <w:szCs w:val="20"/>
        </w:rPr>
      </w:pPr>
    </w:p>
    <w:p w14:paraId="7EA35E82" w14:textId="693ED7A8" w:rsidR="001267DE" w:rsidRPr="00616507" w:rsidRDefault="00CA02A6" w:rsidP="00CA02A6">
      <w:pPr>
        <w:spacing w:after="0" w:line="240" w:lineRule="auto"/>
        <w:rPr>
          <w:rFonts w:ascii="Calibri" w:hAnsi="Calibri" w:cs="Calibri"/>
          <w:sz w:val="20"/>
          <w:szCs w:val="20"/>
        </w:rPr>
      </w:pPr>
      <w:r w:rsidRPr="00616507">
        <w:rPr>
          <w:rFonts w:ascii="Calibri" w:hAnsi="Calibri" w:cs="Calibri"/>
          <w:sz w:val="20"/>
          <w:szCs w:val="20"/>
        </w:rPr>
        <w:t>Se pagará trimestralmente las ordenes de trabajo finalizadas considerando las horas de trabajo efectivamente utilizadas. Para estos pagos se requerirá la presentación de la solicitud de órdenes de trabajo validada y aprobada por la entidad contratante, la planilla de pago, y el acta entrega recepción correspondiente debidamente aprobada por los responsables de las ordenes de trabajo y entregadas al administrador del contrato.</w:t>
      </w:r>
    </w:p>
    <w:p w14:paraId="1678F4E3" w14:textId="77777777" w:rsidR="00CA02A6" w:rsidRPr="00616507" w:rsidRDefault="00CA02A6" w:rsidP="00CA02A6">
      <w:pPr>
        <w:spacing w:after="0" w:line="240" w:lineRule="auto"/>
        <w:rPr>
          <w:rFonts w:ascii="Calibri" w:hAnsi="Calibri" w:cs="Calibri"/>
          <w:sz w:val="20"/>
          <w:szCs w:val="20"/>
        </w:rPr>
      </w:pPr>
    </w:p>
    <w:p w14:paraId="3140C719" w14:textId="70132797" w:rsidR="00CA02A6" w:rsidRPr="00616507" w:rsidRDefault="00CA02A6" w:rsidP="00CA02A6">
      <w:pPr>
        <w:pStyle w:val="Ttulo2"/>
        <w:numPr>
          <w:ilvl w:val="0"/>
          <w:numId w:val="132"/>
        </w:numPr>
        <w:rPr>
          <w:rFonts w:ascii="Calibri" w:eastAsia="Times New Roman" w:hAnsi="Calibri" w:cs="Calibri"/>
          <w:b/>
          <w:bCs/>
          <w:color w:val="000000" w:themeColor="text1"/>
          <w:sz w:val="20"/>
          <w:szCs w:val="20"/>
        </w:rPr>
      </w:pPr>
      <w:bookmarkStart w:id="152" w:name="_Toc217326246"/>
      <w:r w:rsidRPr="00616507">
        <w:rPr>
          <w:rFonts w:ascii="Calibri" w:eastAsia="Times New Roman" w:hAnsi="Calibri" w:cs="Calibri"/>
          <w:b/>
          <w:bCs/>
          <w:color w:val="auto"/>
          <w:sz w:val="20"/>
          <w:szCs w:val="20"/>
        </w:rPr>
        <w:t>Lugar de entrega</w:t>
      </w:r>
      <w:bookmarkEnd w:id="152"/>
    </w:p>
    <w:p w14:paraId="1D22CB59" w14:textId="77777777" w:rsidR="00CA02A6" w:rsidRPr="00616507" w:rsidRDefault="00CA02A6" w:rsidP="00CA02A6">
      <w:pPr>
        <w:jc w:val="both"/>
        <w:rPr>
          <w:sz w:val="20"/>
          <w:szCs w:val="20"/>
        </w:rPr>
      </w:pPr>
    </w:p>
    <w:p w14:paraId="5ADFD0D3" w14:textId="77777777" w:rsidR="00CA02A6" w:rsidRPr="00616507" w:rsidRDefault="00CA02A6" w:rsidP="00CA02A6">
      <w:pPr>
        <w:jc w:val="both"/>
        <w:rPr>
          <w:rFonts w:ascii="Calibri" w:hAnsi="Calibri" w:cs="Calibri"/>
          <w:b/>
          <w:bCs/>
          <w:sz w:val="20"/>
          <w:szCs w:val="20"/>
        </w:rPr>
      </w:pPr>
      <w:r w:rsidRPr="00616507">
        <w:rPr>
          <w:rFonts w:ascii="Calibri" w:hAnsi="Calibri" w:cs="Calibri"/>
          <w:sz w:val="20"/>
          <w:szCs w:val="20"/>
        </w:rPr>
        <w:t>La entrega de bienes y prestación de servicios se realizará en las instalaciones del Servicio de Rentas Internas en la ciudad de Quito, con domicilio en la Av. Amazonas y Pereira, Plataforma Gubernamental de Gestión Financiera o en los lugares que se definan según el plan de implementación.</w:t>
      </w:r>
    </w:p>
    <w:p w14:paraId="6BA4EDB9" w14:textId="77777777" w:rsidR="00CA02A6" w:rsidRPr="00616507" w:rsidRDefault="00CA02A6" w:rsidP="00CA02A6">
      <w:pPr>
        <w:spacing w:after="0" w:line="240" w:lineRule="auto"/>
        <w:rPr>
          <w:rFonts w:eastAsia="Times New Roman" w:cstheme="minorHAnsi"/>
          <w:b/>
          <w:bCs/>
          <w:sz w:val="20"/>
          <w:szCs w:val="20"/>
          <w:lang w:eastAsia="es-EC"/>
        </w:rPr>
      </w:pPr>
    </w:p>
    <w:sectPr w:rsidR="00CA02A6" w:rsidRPr="00616507" w:rsidSect="004C35C3">
      <w:headerReference w:type="default" r:id="rId21"/>
      <w:footerReference w:type="default" r:id="rId22"/>
      <w:pgSz w:w="11900" w:h="16840"/>
      <w:pgMar w:top="2837"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397E54" w14:textId="77777777" w:rsidR="002D72D6" w:rsidRDefault="002D72D6" w:rsidP="008C3FDF">
      <w:pPr>
        <w:spacing w:after="0" w:line="240" w:lineRule="auto"/>
      </w:pPr>
      <w:r>
        <w:separator/>
      </w:r>
    </w:p>
  </w:endnote>
  <w:endnote w:type="continuationSeparator" w:id="0">
    <w:p w14:paraId="78484A99" w14:textId="77777777" w:rsidR="002D72D6" w:rsidRDefault="002D72D6"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Sans">
    <w:charset w:val="00"/>
    <w:family w:val="swiss"/>
    <w:pitch w:val="variable"/>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Book">
    <w:charset w:val="00"/>
    <w:family w:val="auto"/>
    <w:pitch w:val="variable"/>
    <w:sig w:usb0="800000AF" w:usb1="5000204A" w:usb2="00000000" w:usb3="00000000" w:csb0="0000009B" w:csb1="00000000"/>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7857AAF1" w:rsidR="008C3FDF" w:rsidRDefault="005800D9" w:rsidP="004C35C3">
    <w:pPr>
      <w:pStyle w:val="Piedepgina"/>
      <w:tabs>
        <w:tab w:val="clear" w:pos="8504"/>
      </w:tabs>
      <w:ind w:left="-1985"/>
    </w:pPr>
    <w:r>
      <w:rPr>
        <w:noProof/>
        <w:lang w:eastAsia="es-ES_tradnl"/>
      </w:rPr>
      <mc:AlternateContent>
        <mc:Choice Requires="wps">
          <w:drawing>
            <wp:anchor distT="0" distB="0" distL="114300" distR="114300" simplePos="0" relativeHeight="251665408" behindDoc="0" locked="0" layoutInCell="1" allowOverlap="1" wp14:anchorId="1E0D7D77" wp14:editId="645F9D74">
              <wp:simplePos x="0" y="0"/>
              <wp:positionH relativeFrom="column">
                <wp:posOffset>-958917</wp:posOffset>
              </wp:positionH>
              <wp:positionV relativeFrom="paragraph">
                <wp:posOffset>604615</wp:posOffset>
              </wp:positionV>
              <wp:extent cx="4922196" cy="838200"/>
              <wp:effectExtent l="0" t="0" r="0" b="0"/>
              <wp:wrapNone/>
              <wp:docPr id="1648329833" name="Cuadro de texto 1"/>
              <wp:cNvGraphicFramePr/>
              <a:graphic xmlns:a="http://schemas.openxmlformats.org/drawingml/2006/main">
                <a:graphicData uri="http://schemas.microsoft.com/office/word/2010/wordprocessingShape">
                  <wps:wsp>
                    <wps:cNvSpPr txBox="1"/>
                    <wps:spPr>
                      <a:xfrm>
                        <a:off x="0" y="0"/>
                        <a:ext cx="4922196" cy="838200"/>
                      </a:xfrm>
                      <a:prstGeom prst="rect">
                        <a:avLst/>
                      </a:prstGeom>
                      <a:noFill/>
                      <a:ln w="6350">
                        <a:noFill/>
                      </a:ln>
                    </wps:spPr>
                    <wps:txbx>
                      <w:txbxContent>
                        <w:p w14:paraId="45CC3886" w14:textId="3389DF17" w:rsidR="005800D9" w:rsidRPr="003D1037" w:rsidRDefault="003E781D"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Dirección Nacional</w:t>
                          </w:r>
                          <w:r w:rsidR="005800D9" w:rsidRPr="003D1037">
                            <w:rPr>
                              <w:rFonts w:ascii="Arial" w:hAnsi="Arial" w:cs="Arial"/>
                              <w:b/>
                              <w:bCs/>
                              <w:color w:val="313498"/>
                              <w:sz w:val="18"/>
                              <w:szCs w:val="18"/>
                              <w:lang w:val="es-ES"/>
                            </w:rPr>
                            <w:t xml:space="preserve"> </w:t>
                          </w:r>
                          <w:r w:rsidR="00773050" w:rsidRPr="003D1037">
                            <w:rPr>
                              <w:rFonts w:ascii="Arial" w:hAnsi="Arial" w:cs="Arial"/>
                              <w:b/>
                              <w:bCs/>
                              <w:color w:val="313498"/>
                              <w:sz w:val="18"/>
                              <w:szCs w:val="18"/>
                              <w:lang w:val="es-ES"/>
                            </w:rPr>
                            <w:t>–</w:t>
                          </w:r>
                          <w:r w:rsidR="005800D9" w:rsidRPr="003D1037">
                            <w:rPr>
                              <w:rFonts w:ascii="Arial" w:hAnsi="Arial" w:cs="Arial"/>
                              <w:b/>
                              <w:bCs/>
                              <w:color w:val="313498"/>
                              <w:sz w:val="18"/>
                              <w:szCs w:val="18"/>
                              <w:lang w:val="es-ES"/>
                            </w:rPr>
                            <w:t xml:space="preserve"> </w:t>
                          </w:r>
                          <w:r w:rsidRPr="003D1037">
                            <w:rPr>
                              <w:rFonts w:ascii="Arial" w:hAnsi="Arial" w:cs="Arial"/>
                              <w:b/>
                              <w:bCs/>
                              <w:color w:val="313498"/>
                              <w:sz w:val="18"/>
                              <w:szCs w:val="18"/>
                            </w:rPr>
                            <w:t>Plataforma Gubernamental de Gestión Financiera</w:t>
                          </w:r>
                          <w:r w:rsidR="00B23EA6" w:rsidRPr="003D1037">
                            <w:rPr>
                              <w:rFonts w:ascii="Arial" w:hAnsi="Arial" w:cs="Arial"/>
                              <w:b/>
                              <w:bCs/>
                              <w:color w:val="313498"/>
                              <w:sz w:val="18"/>
                              <w:szCs w:val="18"/>
                            </w:rPr>
                            <w:br/>
                          </w:r>
                          <w:r w:rsidR="005800D9" w:rsidRPr="003D1037">
                            <w:rPr>
                              <w:rFonts w:ascii="Arial" w:hAnsi="Arial" w:cs="Arial"/>
                              <w:b/>
                              <w:bCs/>
                              <w:color w:val="313498"/>
                              <w:sz w:val="18"/>
                              <w:szCs w:val="18"/>
                              <w:lang w:val="es-ES"/>
                            </w:rPr>
                            <w:t>Dirección</w:t>
                          </w:r>
                          <w:r w:rsidR="00B23EA6" w:rsidRPr="003D1037">
                            <w:rPr>
                              <w:rFonts w:ascii="Arial" w:hAnsi="Arial" w:cs="Arial"/>
                              <w:b/>
                              <w:bCs/>
                              <w:color w:val="313498"/>
                              <w:sz w:val="18"/>
                              <w:szCs w:val="18"/>
                              <w:lang w:val="es-ES"/>
                            </w:rPr>
                            <w:t>:</w:t>
                          </w:r>
                          <w:r w:rsidR="003A6E84" w:rsidRPr="003D1037">
                            <w:rPr>
                              <w:rFonts w:ascii="Arial" w:hAnsi="Arial" w:cs="Arial"/>
                              <w:b/>
                              <w:bCs/>
                              <w:color w:val="313498"/>
                              <w:sz w:val="18"/>
                              <w:szCs w:val="18"/>
                              <w:lang w:val="es-ES"/>
                            </w:rPr>
                            <w:t xml:space="preserve"> </w:t>
                          </w:r>
                          <w:r w:rsidRPr="003D1037">
                            <w:rPr>
                              <w:rFonts w:ascii="Arial" w:hAnsi="Arial" w:cs="Arial"/>
                              <w:color w:val="313498"/>
                              <w:sz w:val="18"/>
                              <w:szCs w:val="18"/>
                            </w:rPr>
                            <w:t xml:space="preserve">Av. Amazonas </w:t>
                          </w:r>
                          <w:r w:rsidR="00AB3197" w:rsidRPr="003D1037">
                            <w:rPr>
                              <w:rFonts w:ascii="Arial" w:hAnsi="Arial" w:cs="Arial"/>
                              <w:color w:val="313498"/>
                              <w:sz w:val="18"/>
                              <w:szCs w:val="18"/>
                            </w:rPr>
                            <w:t>e</w:t>
                          </w:r>
                          <w:r w:rsidRPr="003D1037">
                            <w:rPr>
                              <w:rFonts w:ascii="Arial" w:hAnsi="Arial" w:cs="Arial"/>
                              <w:color w:val="313498"/>
                              <w:sz w:val="18"/>
                              <w:szCs w:val="18"/>
                            </w:rPr>
                            <w:t xml:space="preserve">ntre Unión Nacional </w:t>
                          </w:r>
                          <w:r w:rsidR="000E5879" w:rsidRPr="003D1037">
                            <w:rPr>
                              <w:rFonts w:ascii="Arial" w:hAnsi="Arial" w:cs="Arial"/>
                              <w:color w:val="313498"/>
                              <w:sz w:val="18"/>
                              <w:szCs w:val="18"/>
                            </w:rPr>
                            <w:t>d</w:t>
                          </w:r>
                          <w:r w:rsidRPr="003D1037">
                            <w:rPr>
                              <w:rFonts w:ascii="Arial" w:hAnsi="Arial" w:cs="Arial"/>
                              <w:color w:val="313498"/>
                              <w:sz w:val="18"/>
                              <w:szCs w:val="18"/>
                            </w:rPr>
                            <w:t xml:space="preserve">e Periodistas </w:t>
                          </w:r>
                          <w:r w:rsidR="000E5879" w:rsidRPr="003D1037">
                            <w:rPr>
                              <w:rFonts w:ascii="Arial" w:hAnsi="Arial" w:cs="Arial"/>
                              <w:color w:val="313498"/>
                              <w:sz w:val="18"/>
                              <w:szCs w:val="18"/>
                            </w:rPr>
                            <w:t>y</w:t>
                          </w:r>
                          <w:r w:rsidRPr="003D1037">
                            <w:rPr>
                              <w:rFonts w:ascii="Arial" w:hAnsi="Arial" w:cs="Arial"/>
                              <w:color w:val="313498"/>
                              <w:sz w:val="18"/>
                              <w:szCs w:val="18"/>
                            </w:rPr>
                            <w:t xml:space="preserve"> J</w:t>
                          </w:r>
                          <w:r w:rsidR="000E5879" w:rsidRPr="003D1037">
                            <w:rPr>
                              <w:rFonts w:ascii="Arial" w:hAnsi="Arial" w:cs="Arial"/>
                              <w:color w:val="313498"/>
                              <w:sz w:val="18"/>
                              <w:szCs w:val="18"/>
                            </w:rPr>
                            <w:t>o</w:t>
                          </w:r>
                          <w:r w:rsidRPr="003D1037">
                            <w:rPr>
                              <w:rFonts w:ascii="Arial" w:hAnsi="Arial" w:cs="Arial"/>
                              <w:color w:val="313498"/>
                              <w:sz w:val="18"/>
                              <w:szCs w:val="18"/>
                            </w:rPr>
                            <w:t>s</w:t>
                          </w:r>
                          <w:r w:rsidR="000E5879" w:rsidRPr="003D1037">
                            <w:rPr>
                              <w:rFonts w:ascii="Arial" w:hAnsi="Arial" w:cs="Arial"/>
                              <w:color w:val="313498"/>
                              <w:sz w:val="18"/>
                              <w:szCs w:val="18"/>
                            </w:rPr>
                            <w:t>é</w:t>
                          </w:r>
                          <w:r w:rsidRPr="003D1037">
                            <w:rPr>
                              <w:rFonts w:ascii="Arial" w:hAnsi="Arial" w:cs="Arial"/>
                              <w:color w:val="313498"/>
                              <w:sz w:val="18"/>
                              <w:szCs w:val="18"/>
                            </w:rPr>
                            <w:t xml:space="preserve"> Villalengua.</w:t>
                          </w:r>
                          <w:r w:rsidR="00CE0424" w:rsidRPr="003D1037">
                            <w:rPr>
                              <w:rFonts w:ascii="Arial" w:hAnsi="Arial" w:cs="Arial"/>
                              <w:color w:val="313498"/>
                              <w:sz w:val="18"/>
                              <w:szCs w:val="18"/>
                            </w:rPr>
                            <w:br/>
                          </w:r>
                          <w:r w:rsidR="00B23EA6" w:rsidRPr="003D1037">
                            <w:rPr>
                              <w:rFonts w:ascii="Arial" w:hAnsi="Arial" w:cs="Arial"/>
                              <w:b/>
                              <w:bCs/>
                              <w:color w:val="313498"/>
                              <w:sz w:val="18"/>
                              <w:szCs w:val="18"/>
                            </w:rPr>
                            <w:t>Código postal:</w:t>
                          </w:r>
                          <w:r w:rsidR="00B23EA6" w:rsidRPr="003D1037">
                            <w:rPr>
                              <w:rFonts w:ascii="Arial" w:hAnsi="Arial" w:cs="Arial"/>
                              <w:color w:val="313498"/>
                              <w:sz w:val="18"/>
                              <w:szCs w:val="18"/>
                            </w:rPr>
                            <w:t> </w:t>
                          </w:r>
                          <w:r w:rsidRPr="003D1037">
                            <w:rPr>
                              <w:rFonts w:ascii="Arial" w:hAnsi="Arial" w:cs="Arial"/>
                              <w:color w:val="313498"/>
                              <w:sz w:val="18"/>
                              <w:szCs w:val="18"/>
                            </w:rPr>
                            <w:t xml:space="preserve">170506 </w:t>
                          </w:r>
                          <w:r w:rsidR="00B23EA6" w:rsidRPr="003D1037">
                            <w:rPr>
                              <w:rFonts w:ascii="Arial" w:hAnsi="Arial" w:cs="Arial"/>
                              <w:color w:val="313498"/>
                              <w:sz w:val="18"/>
                              <w:szCs w:val="18"/>
                            </w:rPr>
                            <w:t xml:space="preserve">/ </w:t>
                          </w:r>
                          <w:r w:rsidR="00BD166F" w:rsidRPr="003D1037">
                            <w:rPr>
                              <w:rFonts w:ascii="Arial" w:hAnsi="Arial" w:cs="Arial"/>
                              <w:color w:val="313498"/>
                              <w:sz w:val="18"/>
                              <w:szCs w:val="18"/>
                            </w:rPr>
                            <w:t>Quito</w:t>
                          </w:r>
                          <w:r w:rsidR="00CE0424" w:rsidRPr="003D1037">
                            <w:rPr>
                              <w:rFonts w:ascii="Arial" w:hAnsi="Arial" w:cs="Arial"/>
                              <w:color w:val="313498"/>
                              <w:sz w:val="18"/>
                              <w:szCs w:val="18"/>
                            </w:rPr>
                            <w:t xml:space="preserve"> </w:t>
                          </w:r>
                          <w:r w:rsidR="00B23EA6" w:rsidRPr="003D1037">
                            <w:rPr>
                              <w:rFonts w:ascii="Arial" w:hAnsi="Arial" w:cs="Arial"/>
                              <w:color w:val="313498"/>
                              <w:sz w:val="18"/>
                              <w:szCs w:val="18"/>
                            </w:rPr>
                            <w:t>– Ecuador</w:t>
                          </w:r>
                          <w:r w:rsidR="00B23EA6" w:rsidRPr="003D1037">
                            <w:rPr>
                              <w:rFonts w:ascii="Arial" w:hAnsi="Arial" w:cs="Arial"/>
                              <w:color w:val="313498"/>
                              <w:sz w:val="18"/>
                              <w:szCs w:val="18"/>
                            </w:rPr>
                            <w:br/>
                          </w:r>
                          <w:r w:rsidR="00B23EA6" w:rsidRPr="003D1037">
                            <w:rPr>
                              <w:rFonts w:ascii="Arial" w:hAnsi="Arial" w:cs="Arial"/>
                              <w:b/>
                              <w:bCs/>
                              <w:color w:val="313498"/>
                              <w:sz w:val="18"/>
                              <w:szCs w:val="18"/>
                            </w:rPr>
                            <w:t>Teléfono:</w:t>
                          </w:r>
                          <w:r w:rsidR="00B23EA6" w:rsidRPr="003D1037">
                            <w:rPr>
                              <w:rFonts w:ascii="Arial" w:hAnsi="Arial" w:cs="Arial"/>
                              <w:color w:val="313498"/>
                              <w:sz w:val="18"/>
                              <w:szCs w:val="18"/>
                            </w:rPr>
                            <w:t> </w:t>
                          </w:r>
                          <w:r w:rsidRPr="003D1037">
                            <w:rPr>
                              <w:rFonts w:ascii="Arial" w:hAnsi="Arial" w:cs="Arial"/>
                              <w:color w:val="313498"/>
                              <w:sz w:val="18"/>
                              <w:szCs w:val="18"/>
                            </w:rPr>
                            <w:t>(02) 3936-300</w:t>
                          </w:r>
                          <w:r w:rsidR="00C6709C" w:rsidRPr="003D1037">
                            <w:rPr>
                              <w:rFonts w:ascii="Arial" w:hAnsi="Arial" w:cs="Arial"/>
                              <w:b/>
                              <w:bCs/>
                              <w:color w:val="313498"/>
                              <w:sz w:val="18"/>
                              <w:szCs w:val="18"/>
                            </w:rPr>
                            <w:br/>
                          </w:r>
                          <w:r w:rsidR="0028323B" w:rsidRPr="003D1037">
                            <w:rPr>
                              <w:rFonts w:ascii="Arial" w:hAnsi="Arial" w:cs="Arial"/>
                              <w:b/>
                              <w:bCs/>
                              <w:color w:val="313498"/>
                              <w:sz w:val="18"/>
                              <w:szCs w:val="18"/>
                            </w:rPr>
                            <w:t>www.sri.gob.ec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0D7D77" id="_x0000_t202" coordsize="21600,21600" o:spt="202" path="m,l,21600r21600,l21600,xe">
              <v:stroke joinstyle="miter"/>
              <v:path gradientshapeok="t" o:connecttype="rect"/>
            </v:shapetype>
            <v:shape id="Cuadro de texto 1" o:spid="_x0000_s1026" type="#_x0000_t202" style="position:absolute;left:0;text-align:left;margin-left:-75.5pt;margin-top:47.6pt;width:387.55pt;height:6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" filled="f" stroked="f" strokeweight=".5pt">
              <v:textbox>
                <w:txbxContent>
                  <w:p w14:paraId="45CC3886" w14:textId="3389DF17" w:rsidR="005800D9" w:rsidRPr="003D1037" w:rsidRDefault="003E781D"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Dirección Nacional</w:t>
                    </w:r>
                    <w:r w:rsidR="005800D9" w:rsidRPr="003D1037">
                      <w:rPr>
                        <w:rFonts w:ascii="Arial" w:hAnsi="Arial" w:cs="Arial"/>
                        <w:b/>
                        <w:bCs/>
                        <w:color w:val="313498"/>
                        <w:sz w:val="18"/>
                        <w:szCs w:val="18"/>
                        <w:lang w:val="es-ES"/>
                      </w:rPr>
                      <w:t xml:space="preserve"> </w:t>
                    </w:r>
                    <w:r w:rsidR="00773050" w:rsidRPr="003D1037">
                      <w:rPr>
                        <w:rFonts w:ascii="Arial" w:hAnsi="Arial" w:cs="Arial"/>
                        <w:b/>
                        <w:bCs/>
                        <w:color w:val="313498"/>
                        <w:sz w:val="18"/>
                        <w:szCs w:val="18"/>
                        <w:lang w:val="es-ES"/>
                      </w:rPr>
                      <w:t>–</w:t>
                    </w:r>
                    <w:r w:rsidR="005800D9" w:rsidRPr="003D1037">
                      <w:rPr>
                        <w:rFonts w:ascii="Arial" w:hAnsi="Arial" w:cs="Arial"/>
                        <w:b/>
                        <w:bCs/>
                        <w:color w:val="313498"/>
                        <w:sz w:val="18"/>
                        <w:szCs w:val="18"/>
                        <w:lang w:val="es-ES"/>
                      </w:rPr>
                      <w:t xml:space="preserve"> </w:t>
                    </w:r>
                    <w:r w:rsidRPr="003D1037">
                      <w:rPr>
                        <w:rFonts w:ascii="Arial" w:hAnsi="Arial" w:cs="Arial"/>
                        <w:b/>
                        <w:bCs/>
                        <w:color w:val="313498"/>
                        <w:sz w:val="18"/>
                        <w:szCs w:val="18"/>
                      </w:rPr>
                      <w:t>Plataforma Gubernamental de Gestión Financiera</w:t>
                    </w:r>
                    <w:r w:rsidR="00B23EA6" w:rsidRPr="003D1037">
                      <w:rPr>
                        <w:rFonts w:ascii="Arial" w:hAnsi="Arial" w:cs="Arial"/>
                        <w:b/>
                        <w:bCs/>
                        <w:color w:val="313498"/>
                        <w:sz w:val="18"/>
                        <w:szCs w:val="18"/>
                      </w:rPr>
                      <w:br/>
                    </w:r>
                    <w:r w:rsidR="005800D9" w:rsidRPr="003D1037">
                      <w:rPr>
                        <w:rFonts w:ascii="Arial" w:hAnsi="Arial" w:cs="Arial"/>
                        <w:b/>
                        <w:bCs/>
                        <w:color w:val="313498"/>
                        <w:sz w:val="18"/>
                        <w:szCs w:val="18"/>
                        <w:lang w:val="es-ES"/>
                      </w:rPr>
                      <w:t>Dirección</w:t>
                    </w:r>
                    <w:r w:rsidR="00B23EA6" w:rsidRPr="003D1037">
                      <w:rPr>
                        <w:rFonts w:ascii="Arial" w:hAnsi="Arial" w:cs="Arial"/>
                        <w:b/>
                        <w:bCs/>
                        <w:color w:val="313498"/>
                        <w:sz w:val="18"/>
                        <w:szCs w:val="18"/>
                        <w:lang w:val="es-ES"/>
                      </w:rPr>
                      <w:t>:</w:t>
                    </w:r>
                    <w:r w:rsidR="003A6E84" w:rsidRPr="003D1037">
                      <w:rPr>
                        <w:rFonts w:ascii="Arial" w:hAnsi="Arial" w:cs="Arial"/>
                        <w:b/>
                        <w:bCs/>
                        <w:color w:val="313498"/>
                        <w:sz w:val="18"/>
                        <w:szCs w:val="18"/>
                        <w:lang w:val="es-ES"/>
                      </w:rPr>
                      <w:t xml:space="preserve"> </w:t>
                    </w:r>
                    <w:r w:rsidRPr="003D1037">
                      <w:rPr>
                        <w:rFonts w:ascii="Arial" w:hAnsi="Arial" w:cs="Arial"/>
                        <w:color w:val="313498"/>
                        <w:sz w:val="18"/>
                        <w:szCs w:val="18"/>
                      </w:rPr>
                      <w:t xml:space="preserve">Av. Amazonas </w:t>
                    </w:r>
                    <w:r w:rsidR="00AB3197" w:rsidRPr="003D1037">
                      <w:rPr>
                        <w:rFonts w:ascii="Arial" w:hAnsi="Arial" w:cs="Arial"/>
                        <w:color w:val="313498"/>
                        <w:sz w:val="18"/>
                        <w:szCs w:val="18"/>
                      </w:rPr>
                      <w:t>e</w:t>
                    </w:r>
                    <w:r w:rsidRPr="003D1037">
                      <w:rPr>
                        <w:rFonts w:ascii="Arial" w:hAnsi="Arial" w:cs="Arial"/>
                        <w:color w:val="313498"/>
                        <w:sz w:val="18"/>
                        <w:szCs w:val="18"/>
                      </w:rPr>
                      <w:t xml:space="preserve">ntre Unión Nacional </w:t>
                    </w:r>
                    <w:r w:rsidR="000E5879" w:rsidRPr="003D1037">
                      <w:rPr>
                        <w:rFonts w:ascii="Arial" w:hAnsi="Arial" w:cs="Arial"/>
                        <w:color w:val="313498"/>
                        <w:sz w:val="18"/>
                        <w:szCs w:val="18"/>
                      </w:rPr>
                      <w:t>d</w:t>
                    </w:r>
                    <w:r w:rsidRPr="003D1037">
                      <w:rPr>
                        <w:rFonts w:ascii="Arial" w:hAnsi="Arial" w:cs="Arial"/>
                        <w:color w:val="313498"/>
                        <w:sz w:val="18"/>
                        <w:szCs w:val="18"/>
                      </w:rPr>
                      <w:t xml:space="preserve">e Periodistas </w:t>
                    </w:r>
                    <w:r w:rsidR="000E5879" w:rsidRPr="003D1037">
                      <w:rPr>
                        <w:rFonts w:ascii="Arial" w:hAnsi="Arial" w:cs="Arial"/>
                        <w:color w:val="313498"/>
                        <w:sz w:val="18"/>
                        <w:szCs w:val="18"/>
                      </w:rPr>
                      <w:t>y</w:t>
                    </w:r>
                    <w:r w:rsidRPr="003D1037">
                      <w:rPr>
                        <w:rFonts w:ascii="Arial" w:hAnsi="Arial" w:cs="Arial"/>
                        <w:color w:val="313498"/>
                        <w:sz w:val="18"/>
                        <w:szCs w:val="18"/>
                      </w:rPr>
                      <w:t xml:space="preserve"> J</w:t>
                    </w:r>
                    <w:r w:rsidR="000E5879" w:rsidRPr="003D1037">
                      <w:rPr>
                        <w:rFonts w:ascii="Arial" w:hAnsi="Arial" w:cs="Arial"/>
                        <w:color w:val="313498"/>
                        <w:sz w:val="18"/>
                        <w:szCs w:val="18"/>
                      </w:rPr>
                      <w:t>o</w:t>
                    </w:r>
                    <w:r w:rsidRPr="003D1037">
                      <w:rPr>
                        <w:rFonts w:ascii="Arial" w:hAnsi="Arial" w:cs="Arial"/>
                        <w:color w:val="313498"/>
                        <w:sz w:val="18"/>
                        <w:szCs w:val="18"/>
                      </w:rPr>
                      <w:t>s</w:t>
                    </w:r>
                    <w:r w:rsidR="000E5879" w:rsidRPr="003D1037">
                      <w:rPr>
                        <w:rFonts w:ascii="Arial" w:hAnsi="Arial" w:cs="Arial"/>
                        <w:color w:val="313498"/>
                        <w:sz w:val="18"/>
                        <w:szCs w:val="18"/>
                      </w:rPr>
                      <w:t>é</w:t>
                    </w:r>
                    <w:r w:rsidRPr="003D1037">
                      <w:rPr>
                        <w:rFonts w:ascii="Arial" w:hAnsi="Arial" w:cs="Arial"/>
                        <w:color w:val="313498"/>
                        <w:sz w:val="18"/>
                        <w:szCs w:val="18"/>
                      </w:rPr>
                      <w:t xml:space="preserve"> Villalengua.</w:t>
                    </w:r>
                    <w:r w:rsidR="00CE0424" w:rsidRPr="003D1037">
                      <w:rPr>
                        <w:rFonts w:ascii="Arial" w:hAnsi="Arial" w:cs="Arial"/>
                        <w:color w:val="313498"/>
                        <w:sz w:val="18"/>
                        <w:szCs w:val="18"/>
                      </w:rPr>
                      <w:br/>
                    </w:r>
                    <w:r w:rsidR="00B23EA6" w:rsidRPr="003D1037">
                      <w:rPr>
                        <w:rFonts w:ascii="Arial" w:hAnsi="Arial" w:cs="Arial"/>
                        <w:b/>
                        <w:bCs/>
                        <w:color w:val="313498"/>
                        <w:sz w:val="18"/>
                        <w:szCs w:val="18"/>
                      </w:rPr>
                      <w:t>Código postal:</w:t>
                    </w:r>
                    <w:r w:rsidR="00B23EA6" w:rsidRPr="003D1037">
                      <w:rPr>
                        <w:rFonts w:ascii="Arial" w:hAnsi="Arial" w:cs="Arial"/>
                        <w:color w:val="313498"/>
                        <w:sz w:val="18"/>
                        <w:szCs w:val="18"/>
                      </w:rPr>
                      <w:t> </w:t>
                    </w:r>
                    <w:r w:rsidRPr="003D1037">
                      <w:rPr>
                        <w:rFonts w:ascii="Arial" w:hAnsi="Arial" w:cs="Arial"/>
                        <w:color w:val="313498"/>
                        <w:sz w:val="18"/>
                        <w:szCs w:val="18"/>
                      </w:rPr>
                      <w:t xml:space="preserve">170506 </w:t>
                    </w:r>
                    <w:r w:rsidR="00B23EA6" w:rsidRPr="003D1037">
                      <w:rPr>
                        <w:rFonts w:ascii="Arial" w:hAnsi="Arial" w:cs="Arial"/>
                        <w:color w:val="313498"/>
                        <w:sz w:val="18"/>
                        <w:szCs w:val="18"/>
                      </w:rPr>
                      <w:t xml:space="preserve">/ </w:t>
                    </w:r>
                    <w:r w:rsidR="00BD166F" w:rsidRPr="003D1037">
                      <w:rPr>
                        <w:rFonts w:ascii="Arial" w:hAnsi="Arial" w:cs="Arial"/>
                        <w:color w:val="313498"/>
                        <w:sz w:val="18"/>
                        <w:szCs w:val="18"/>
                      </w:rPr>
                      <w:t>Quito</w:t>
                    </w:r>
                    <w:r w:rsidR="00CE0424" w:rsidRPr="003D1037">
                      <w:rPr>
                        <w:rFonts w:ascii="Arial" w:hAnsi="Arial" w:cs="Arial"/>
                        <w:color w:val="313498"/>
                        <w:sz w:val="18"/>
                        <w:szCs w:val="18"/>
                      </w:rPr>
                      <w:t xml:space="preserve"> </w:t>
                    </w:r>
                    <w:r w:rsidR="00B23EA6" w:rsidRPr="003D1037">
                      <w:rPr>
                        <w:rFonts w:ascii="Arial" w:hAnsi="Arial" w:cs="Arial"/>
                        <w:color w:val="313498"/>
                        <w:sz w:val="18"/>
                        <w:szCs w:val="18"/>
                      </w:rPr>
                      <w:t>– Ecuador</w:t>
                    </w:r>
                    <w:r w:rsidR="00B23EA6" w:rsidRPr="003D1037">
                      <w:rPr>
                        <w:rFonts w:ascii="Arial" w:hAnsi="Arial" w:cs="Arial"/>
                        <w:color w:val="313498"/>
                        <w:sz w:val="18"/>
                        <w:szCs w:val="18"/>
                      </w:rPr>
                      <w:br/>
                    </w:r>
                    <w:r w:rsidR="00B23EA6" w:rsidRPr="003D1037">
                      <w:rPr>
                        <w:rFonts w:ascii="Arial" w:hAnsi="Arial" w:cs="Arial"/>
                        <w:b/>
                        <w:bCs/>
                        <w:color w:val="313498"/>
                        <w:sz w:val="18"/>
                        <w:szCs w:val="18"/>
                      </w:rPr>
                      <w:t>Teléfono:</w:t>
                    </w:r>
                    <w:r w:rsidR="00B23EA6" w:rsidRPr="003D1037">
                      <w:rPr>
                        <w:rFonts w:ascii="Arial" w:hAnsi="Arial" w:cs="Arial"/>
                        <w:color w:val="313498"/>
                        <w:sz w:val="18"/>
                        <w:szCs w:val="18"/>
                      </w:rPr>
                      <w:t> </w:t>
                    </w:r>
                    <w:r w:rsidRPr="003D1037">
                      <w:rPr>
                        <w:rFonts w:ascii="Arial" w:hAnsi="Arial" w:cs="Arial"/>
                        <w:color w:val="313498"/>
                        <w:sz w:val="18"/>
                        <w:szCs w:val="18"/>
                      </w:rPr>
                      <w:t>(02) 3936-300</w:t>
                    </w:r>
                    <w:r w:rsidR="00C6709C" w:rsidRPr="003D1037">
                      <w:rPr>
                        <w:rFonts w:ascii="Arial" w:hAnsi="Arial" w:cs="Arial"/>
                        <w:b/>
                        <w:bCs/>
                        <w:color w:val="313498"/>
                        <w:sz w:val="18"/>
                        <w:szCs w:val="18"/>
                      </w:rPr>
                      <w:br/>
                    </w:r>
                    <w:r w:rsidR="0028323B" w:rsidRPr="003D1037">
                      <w:rPr>
                        <w:rFonts w:ascii="Arial" w:hAnsi="Arial" w:cs="Arial"/>
                        <w:b/>
                        <w:bCs/>
                        <w:color w:val="313498"/>
                        <w:sz w:val="18"/>
                        <w:szCs w:val="18"/>
                      </w:rPr>
                      <w:t>www.sri.gob.ec</w:t>
                    </w:r>
                  </w:p>
                </w:txbxContent>
              </v:textbox>
            </v:shape>
          </w:pict>
        </mc:Fallback>
      </mc:AlternateContent>
    </w:r>
    <w:r w:rsidR="00B56306">
      <w:rPr>
        <w:noProof/>
        <w:lang w:eastAsia="es-ES_tradnl"/>
      </w:rPr>
      <w:drawing>
        <wp:anchor distT="0" distB="0" distL="114300" distR="114300" simplePos="0" relativeHeight="251663360" behindDoc="1" locked="0" layoutInCell="1" allowOverlap="1" wp14:anchorId="3E00FE24" wp14:editId="1C8DC0F2">
          <wp:simplePos x="0" y="0"/>
          <wp:positionH relativeFrom="column">
            <wp:posOffset>-1260475</wp:posOffset>
          </wp:positionH>
          <wp:positionV relativeFrom="page">
            <wp:posOffset>8621486</wp:posOffset>
          </wp:positionV>
          <wp:extent cx="7693244" cy="2089459"/>
          <wp:effectExtent l="0" t="0" r="3175" b="6350"/>
          <wp:wrapNone/>
          <wp:docPr id="1739519799" name="Imagen 1739519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8D057" w14:textId="197E4FB8" w:rsidR="00FD2313" w:rsidRDefault="00FD2313" w:rsidP="004C35C3">
    <w:pPr>
      <w:pStyle w:val="Piedepgina"/>
      <w:tabs>
        <w:tab w:val="clear" w:pos="8504"/>
      </w:tabs>
      <w:ind w:left="-1985"/>
    </w:pPr>
    <w:r>
      <w:rPr>
        <w:noProof/>
        <w:lang w:eastAsia="es-ES_tradnl"/>
      </w:rPr>
      <w:drawing>
        <wp:anchor distT="0" distB="0" distL="114300" distR="114300" simplePos="0" relativeHeight="251683840" behindDoc="1" locked="0" layoutInCell="1" allowOverlap="1" wp14:anchorId="1DC50E14" wp14:editId="164BFE49">
          <wp:simplePos x="0" y="0"/>
          <wp:positionH relativeFrom="page">
            <wp:posOffset>6350</wp:posOffset>
          </wp:positionH>
          <wp:positionV relativeFrom="page">
            <wp:posOffset>5446248</wp:posOffset>
          </wp:positionV>
          <wp:extent cx="7693244" cy="2089459"/>
          <wp:effectExtent l="0" t="0" r="3175" b="6350"/>
          <wp:wrapNone/>
          <wp:docPr id="1269256453" name="Imagen 1269256453"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256453" name="Imagen 1269256453" descr="Patrón de fondo&#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mc:AlternateContent>
        <mc:Choice Requires="wps">
          <w:drawing>
            <wp:anchor distT="0" distB="0" distL="114300" distR="114300" simplePos="0" relativeHeight="251674624" behindDoc="0" locked="0" layoutInCell="1" allowOverlap="1" wp14:anchorId="3B0D9545" wp14:editId="47DC3F3F">
              <wp:simplePos x="0" y="0"/>
              <wp:positionH relativeFrom="column">
                <wp:posOffset>-875723</wp:posOffset>
              </wp:positionH>
              <wp:positionV relativeFrom="paragraph">
                <wp:posOffset>549102</wp:posOffset>
              </wp:positionV>
              <wp:extent cx="4922196" cy="838200"/>
              <wp:effectExtent l="0" t="0" r="0" b="0"/>
              <wp:wrapNone/>
              <wp:docPr id="233722568" name="Cuadro de texto 1"/>
              <wp:cNvGraphicFramePr/>
              <a:graphic xmlns:a="http://schemas.openxmlformats.org/drawingml/2006/main">
                <a:graphicData uri="http://schemas.microsoft.com/office/word/2010/wordprocessingShape">
                  <wps:wsp>
                    <wps:cNvSpPr txBox="1"/>
                    <wps:spPr>
                      <a:xfrm>
                        <a:off x="0" y="0"/>
                        <a:ext cx="4922196" cy="838200"/>
                      </a:xfrm>
                      <a:prstGeom prst="rect">
                        <a:avLst/>
                      </a:prstGeom>
                      <a:noFill/>
                      <a:ln w="6350">
                        <a:noFill/>
                      </a:ln>
                    </wps:spPr>
                    <wps:txbx>
                      <w:txbxContent>
                        <w:p w14:paraId="0084E979" w14:textId="77777777" w:rsidR="00FD2313" w:rsidRPr="003D1037" w:rsidRDefault="00FD2313"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0D9545" id="_x0000_t202" coordsize="21600,21600" o:spt="202" path="m,l,21600r21600,l21600,xe">
              <v:stroke joinstyle="miter"/>
              <v:path gradientshapeok="t" o:connecttype="rect"/>
            </v:shapetype>
            <v:shape id="_x0000_s1027" type="#_x0000_t202" style="position:absolute;left:0;text-align:left;margin-left:-68.95pt;margin-top:43.25pt;width:387.55pt;height:6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" filled="f" stroked="f" strokeweight=".5pt">
              <v:textbox>
                <w:txbxContent>
                  <w:p w14:paraId="0084E979" w14:textId="77777777" w:rsidR="00FD2313" w:rsidRPr="003D1037" w:rsidRDefault="00FD2313"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txbxContent>
              </v:textbox>
            </v:shape>
          </w:pict>
        </mc:Fallback>
      </mc:AlternateContent>
    </w:r>
    <w:r>
      <w:rPr>
        <w:noProof/>
        <w:lang w:eastAsia="es-ES_tradnl"/>
      </w:rPr>
      <w:drawing>
        <wp:anchor distT="0" distB="0" distL="114300" distR="114300" simplePos="0" relativeHeight="251673600" behindDoc="1" locked="0" layoutInCell="1" allowOverlap="1" wp14:anchorId="73F99C5B" wp14:editId="49F03C74">
          <wp:simplePos x="0" y="0"/>
          <wp:positionH relativeFrom="column">
            <wp:posOffset>-1260475</wp:posOffset>
          </wp:positionH>
          <wp:positionV relativeFrom="page">
            <wp:posOffset>8621486</wp:posOffset>
          </wp:positionV>
          <wp:extent cx="7693244" cy="2089459"/>
          <wp:effectExtent l="0" t="0" r="3175" b="6350"/>
          <wp:wrapNone/>
          <wp:docPr id="1096737426" name="Imagen 1096737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138C2" w14:textId="77777777" w:rsidR="00FD2313" w:rsidRDefault="00FD2313" w:rsidP="004C35C3">
    <w:pPr>
      <w:pStyle w:val="Piedepgina"/>
      <w:tabs>
        <w:tab w:val="clear" w:pos="8504"/>
      </w:tabs>
      <w:ind w:left="-1985"/>
    </w:pPr>
    <w:r>
      <w:rPr>
        <w:noProof/>
        <w:lang w:eastAsia="es-ES_tradnl"/>
      </w:rPr>
      <mc:AlternateContent>
        <mc:Choice Requires="wps">
          <w:drawing>
            <wp:anchor distT="0" distB="0" distL="114300" distR="114300" simplePos="0" relativeHeight="251681792" behindDoc="0" locked="0" layoutInCell="1" allowOverlap="1" wp14:anchorId="4F5B4F54" wp14:editId="7CFF3615">
              <wp:simplePos x="0" y="0"/>
              <wp:positionH relativeFrom="column">
                <wp:posOffset>-958917</wp:posOffset>
              </wp:positionH>
              <wp:positionV relativeFrom="paragraph">
                <wp:posOffset>604615</wp:posOffset>
              </wp:positionV>
              <wp:extent cx="4922196" cy="838200"/>
              <wp:effectExtent l="0" t="0" r="0" b="0"/>
              <wp:wrapNone/>
              <wp:docPr id="1250479887" name="Cuadro de texto 1"/>
              <wp:cNvGraphicFramePr/>
              <a:graphic xmlns:a="http://schemas.openxmlformats.org/drawingml/2006/main">
                <a:graphicData uri="http://schemas.microsoft.com/office/word/2010/wordprocessingShape">
                  <wps:wsp>
                    <wps:cNvSpPr txBox="1"/>
                    <wps:spPr>
                      <a:xfrm>
                        <a:off x="0" y="0"/>
                        <a:ext cx="4922196" cy="838200"/>
                      </a:xfrm>
                      <a:prstGeom prst="rect">
                        <a:avLst/>
                      </a:prstGeom>
                      <a:noFill/>
                      <a:ln w="6350">
                        <a:noFill/>
                      </a:ln>
                    </wps:spPr>
                    <wps:txbx>
                      <w:txbxContent>
                        <w:p w14:paraId="7D7C865D" w14:textId="77777777" w:rsidR="00FD2313" w:rsidRPr="003D1037" w:rsidRDefault="00FD2313"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5B4F54" id="_x0000_t202" coordsize="21600,21600" o:spt="202" path="m,l,21600r21600,l21600,xe">
              <v:stroke joinstyle="miter"/>
              <v:path gradientshapeok="t" o:connecttype="rect"/>
            </v:shapetype>
            <v:shape id="_x0000_s1028" type="#_x0000_t202" style="position:absolute;left:0;text-align:left;margin-left:-75.5pt;margin-top:47.6pt;width:387.55pt;height:6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" filled="f" stroked="f" strokeweight=".5pt">
              <v:textbox>
                <w:txbxContent>
                  <w:p w14:paraId="7D7C865D" w14:textId="77777777" w:rsidR="00FD2313" w:rsidRPr="003D1037" w:rsidRDefault="00FD2313" w:rsidP="00B23EA6">
                    <w:pPr>
                      <w:spacing w:line="216" w:lineRule="auto"/>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txbxContent>
              </v:textbox>
            </v:shape>
          </w:pict>
        </mc:Fallback>
      </mc:AlternateContent>
    </w:r>
    <w:r>
      <w:rPr>
        <w:noProof/>
        <w:lang w:eastAsia="es-ES_tradnl"/>
      </w:rPr>
      <w:drawing>
        <wp:anchor distT="0" distB="0" distL="114300" distR="114300" simplePos="0" relativeHeight="251680768" behindDoc="1" locked="0" layoutInCell="1" allowOverlap="1" wp14:anchorId="65CACB66" wp14:editId="2FE9E6FD">
          <wp:simplePos x="0" y="0"/>
          <wp:positionH relativeFrom="column">
            <wp:posOffset>-1260475</wp:posOffset>
          </wp:positionH>
          <wp:positionV relativeFrom="page">
            <wp:posOffset>8621486</wp:posOffset>
          </wp:positionV>
          <wp:extent cx="7693244" cy="2089459"/>
          <wp:effectExtent l="0" t="0" r="3175" b="6350"/>
          <wp:wrapNone/>
          <wp:docPr id="1417807704" name="Imagen 141780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D5F525" w14:textId="77777777" w:rsidR="002D72D6" w:rsidRDefault="002D72D6" w:rsidP="008C3FDF">
      <w:pPr>
        <w:spacing w:after="0" w:line="240" w:lineRule="auto"/>
      </w:pPr>
      <w:r>
        <w:separator/>
      </w:r>
    </w:p>
  </w:footnote>
  <w:footnote w:type="continuationSeparator" w:id="0">
    <w:p w14:paraId="685CFEE4" w14:textId="77777777" w:rsidR="002D72D6" w:rsidRDefault="002D72D6"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34D14538" w:rsidR="008C3FDF" w:rsidRDefault="005800D9" w:rsidP="005B587A">
    <w:pPr>
      <w:pStyle w:val="Encabezado"/>
      <w:tabs>
        <w:tab w:val="clear" w:pos="8504"/>
        <w:tab w:val="right" w:pos="8498"/>
      </w:tabs>
      <w:ind w:left="-1985"/>
    </w:pPr>
    <w:r>
      <w:rPr>
        <w:noProof/>
      </w:rPr>
      <w:drawing>
        <wp:anchor distT="0" distB="0" distL="114300" distR="114300" simplePos="0" relativeHeight="251667456" behindDoc="1" locked="0" layoutInCell="1" hidden="0" allowOverlap="1" wp14:anchorId="15B98EBA" wp14:editId="1B4F4F2A">
          <wp:simplePos x="0" y="0"/>
          <wp:positionH relativeFrom="column">
            <wp:posOffset>-1260475</wp:posOffset>
          </wp:positionH>
          <wp:positionV relativeFrom="margin">
            <wp:posOffset>-1763395</wp:posOffset>
          </wp:positionV>
          <wp:extent cx="2476500" cy="1200785"/>
          <wp:effectExtent l="0" t="0" r="0" b="0"/>
          <wp:wrapNone/>
          <wp:docPr id="224282172" name="image2.jpg"/>
          <wp:cNvGraphicFramePr/>
          <a:graphic xmlns:a="http://schemas.openxmlformats.org/drawingml/2006/main">
            <a:graphicData uri="http://schemas.openxmlformats.org/drawingml/2006/picture">
              <pic:pic xmlns:pic="http://schemas.openxmlformats.org/drawingml/2006/picture">
                <pic:nvPicPr>
                  <pic:cNvPr id="1514281448" name="image2.jpg"/>
                  <pic:cNvPicPr preferRelativeResize="0"/>
                </pic:nvPicPr>
                <pic:blipFill rotWithShape="1">
                  <a:blip r:embed="rId1">
                    <a:extLst>
                      <a:ext uri="{28A0092B-C50C-407E-A947-70E740481C1C}">
                        <a14:useLocalDpi xmlns:a14="http://schemas.microsoft.com/office/drawing/2010/main" val="0"/>
                      </a:ext>
                    </a:extLst>
                  </a:blip>
                  <a:srcRect r="67774"/>
                  <a:stretch/>
                </pic:blipFill>
                <pic:spPr bwMode="auto">
                  <a:xfrm>
                    <a:off x="0" y="0"/>
                    <a:ext cx="2476500" cy="1200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D560F" w:rsidRPr="00BD560F">
      <w:rPr>
        <w:noProof/>
      </w:rPr>
      <w:drawing>
        <wp:anchor distT="0" distB="0" distL="114300" distR="114300" simplePos="0" relativeHeight="251664384" behindDoc="1" locked="0" layoutInCell="1" allowOverlap="1" wp14:anchorId="769C92F9" wp14:editId="506A5BC4">
          <wp:simplePos x="0" y="0"/>
          <wp:positionH relativeFrom="column">
            <wp:posOffset>2287904</wp:posOffset>
          </wp:positionH>
          <wp:positionV relativeFrom="paragraph">
            <wp:posOffset>-20320</wp:posOffset>
          </wp:positionV>
          <wp:extent cx="4015727" cy="172720"/>
          <wp:effectExtent l="0" t="0" r="0" b="5080"/>
          <wp:wrapNone/>
          <wp:docPr id="14872617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2">
                    <a:extLst>
                      <a:ext uri="{28A0092B-C50C-407E-A947-70E740481C1C}">
                        <a14:useLocalDpi xmlns:a14="http://schemas.microsoft.com/office/drawing/2010/main" val="0"/>
                      </a:ext>
                    </a:extLst>
                  </a:blip>
                  <a:stretch>
                    <a:fillRect/>
                  </a:stretch>
                </pic:blipFill>
                <pic:spPr>
                  <a:xfrm>
                    <a:off x="0" y="0"/>
                    <a:ext cx="4872178" cy="209557"/>
                  </a:xfrm>
                  <a:prstGeom prst="rect">
                    <a:avLst/>
                  </a:prstGeom>
                </pic:spPr>
              </pic:pic>
            </a:graphicData>
          </a:graphic>
          <wp14:sizeRelH relativeFrom="page">
            <wp14:pctWidth>0</wp14:pctWidth>
          </wp14:sizeRelH>
          <wp14:sizeRelV relativeFrom="page">
            <wp14:pctHeight>0</wp14:pctHeight>
          </wp14:sizeRelV>
        </wp:anchor>
      </w:drawing>
    </w:r>
    <w:r w:rsidR="00666ED2">
      <w:rPr>
        <w:noProof/>
      </w:rPr>
      <w:drawing>
        <wp:anchor distT="0" distB="0" distL="114300" distR="114300" simplePos="0" relativeHeight="251660288" behindDoc="0" locked="0" layoutInCell="1" allowOverlap="1" wp14:anchorId="7F5C1899" wp14:editId="595FEF40">
          <wp:simplePos x="0" y="0"/>
          <wp:positionH relativeFrom="column">
            <wp:posOffset>4955268</wp:posOffset>
          </wp:positionH>
          <wp:positionV relativeFrom="paragraph">
            <wp:posOffset>558800</wp:posOffset>
          </wp:positionV>
          <wp:extent cx="796925" cy="558800"/>
          <wp:effectExtent l="0" t="0" r="0" b="0"/>
          <wp:wrapNone/>
          <wp:docPr id="1165030847"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3">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C93E6" w14:textId="231F59F5" w:rsidR="00FD2313" w:rsidRDefault="00FD2313" w:rsidP="005B587A">
    <w:pPr>
      <w:pStyle w:val="Encabezado"/>
      <w:tabs>
        <w:tab w:val="clear" w:pos="8504"/>
        <w:tab w:val="right" w:pos="8498"/>
      </w:tabs>
      <w:ind w:left="-1985"/>
    </w:pPr>
    <w:r>
      <w:rPr>
        <w:noProof/>
      </w:rPr>
      <w:drawing>
        <wp:anchor distT="0" distB="0" distL="114300" distR="114300" simplePos="0" relativeHeight="251671552" behindDoc="1" locked="0" layoutInCell="1" hidden="0" allowOverlap="1" wp14:anchorId="06E2DED6" wp14:editId="04CABF69">
          <wp:simplePos x="0" y="0"/>
          <wp:positionH relativeFrom="page">
            <wp:posOffset>-27709</wp:posOffset>
          </wp:positionH>
          <wp:positionV relativeFrom="topMargin">
            <wp:align>bottom</wp:align>
          </wp:positionV>
          <wp:extent cx="2476500" cy="1200785"/>
          <wp:effectExtent l="0" t="0" r="0" b="0"/>
          <wp:wrapNone/>
          <wp:docPr id="252935556" name="image2.jpg"/>
          <wp:cNvGraphicFramePr/>
          <a:graphic xmlns:a="http://schemas.openxmlformats.org/drawingml/2006/main">
            <a:graphicData uri="http://schemas.openxmlformats.org/drawingml/2006/picture">
              <pic:pic xmlns:pic="http://schemas.openxmlformats.org/drawingml/2006/picture">
                <pic:nvPicPr>
                  <pic:cNvPr id="1514281448" name="image2.jpg"/>
                  <pic:cNvPicPr preferRelativeResize="0"/>
                </pic:nvPicPr>
                <pic:blipFill rotWithShape="1">
                  <a:blip r:embed="rId1">
                    <a:extLst>
                      <a:ext uri="{28A0092B-C50C-407E-A947-70E740481C1C}">
                        <a14:useLocalDpi xmlns:a14="http://schemas.microsoft.com/office/drawing/2010/main" val="0"/>
                      </a:ext>
                    </a:extLst>
                  </a:blip>
                  <a:srcRect r="67774"/>
                  <a:stretch/>
                </pic:blipFill>
                <pic:spPr bwMode="auto">
                  <a:xfrm>
                    <a:off x="0" y="0"/>
                    <a:ext cx="2476500" cy="1200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0" locked="0" layoutInCell="1" allowOverlap="1" wp14:anchorId="770D1072" wp14:editId="044362D9">
          <wp:simplePos x="0" y="0"/>
          <wp:positionH relativeFrom="column">
            <wp:posOffset>8536074</wp:posOffset>
          </wp:positionH>
          <wp:positionV relativeFrom="paragraph">
            <wp:posOffset>475500</wp:posOffset>
          </wp:positionV>
          <wp:extent cx="796925" cy="558800"/>
          <wp:effectExtent l="0" t="0" r="0" b="0"/>
          <wp:wrapNone/>
          <wp:docPr id="1435656891"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2">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60F">
      <w:rPr>
        <w:noProof/>
      </w:rPr>
      <w:drawing>
        <wp:anchor distT="0" distB="0" distL="114300" distR="114300" simplePos="0" relativeHeight="251670528" behindDoc="1" locked="0" layoutInCell="1" allowOverlap="1" wp14:anchorId="276F1716" wp14:editId="782ADE4C">
          <wp:simplePos x="0" y="0"/>
          <wp:positionH relativeFrom="page">
            <wp:align>right</wp:align>
          </wp:positionH>
          <wp:positionV relativeFrom="paragraph">
            <wp:posOffset>462</wp:posOffset>
          </wp:positionV>
          <wp:extent cx="4015727" cy="172720"/>
          <wp:effectExtent l="0" t="0" r="4445" b="0"/>
          <wp:wrapNone/>
          <wp:docPr id="16194180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3">
                    <a:extLst>
                      <a:ext uri="{28A0092B-C50C-407E-A947-70E740481C1C}">
                        <a14:useLocalDpi xmlns:a14="http://schemas.microsoft.com/office/drawing/2010/main" val="0"/>
                      </a:ext>
                    </a:extLst>
                  </a:blip>
                  <a:stretch>
                    <a:fillRect/>
                  </a:stretch>
                </pic:blipFill>
                <pic:spPr>
                  <a:xfrm>
                    <a:off x="0" y="0"/>
                    <a:ext cx="4015727" cy="17272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0A545" w14:textId="77777777" w:rsidR="00FD2313" w:rsidRDefault="00FD2313" w:rsidP="005B587A">
    <w:pPr>
      <w:pStyle w:val="Encabezado"/>
      <w:tabs>
        <w:tab w:val="clear" w:pos="8504"/>
        <w:tab w:val="right" w:pos="8498"/>
      </w:tabs>
      <w:ind w:left="-1985"/>
    </w:pPr>
    <w:r>
      <w:rPr>
        <w:noProof/>
      </w:rPr>
      <w:drawing>
        <wp:anchor distT="0" distB="0" distL="114300" distR="114300" simplePos="0" relativeHeight="251678720" behindDoc="1" locked="0" layoutInCell="1" hidden="0" allowOverlap="1" wp14:anchorId="5780F925" wp14:editId="09E2D94F">
          <wp:simplePos x="0" y="0"/>
          <wp:positionH relativeFrom="column">
            <wp:posOffset>-1260475</wp:posOffset>
          </wp:positionH>
          <wp:positionV relativeFrom="margin">
            <wp:posOffset>-1763395</wp:posOffset>
          </wp:positionV>
          <wp:extent cx="2476500" cy="1200785"/>
          <wp:effectExtent l="0" t="0" r="0" b="0"/>
          <wp:wrapNone/>
          <wp:docPr id="898098270" name="image2.jpg"/>
          <wp:cNvGraphicFramePr/>
          <a:graphic xmlns:a="http://schemas.openxmlformats.org/drawingml/2006/main">
            <a:graphicData uri="http://schemas.openxmlformats.org/drawingml/2006/picture">
              <pic:pic xmlns:pic="http://schemas.openxmlformats.org/drawingml/2006/picture">
                <pic:nvPicPr>
                  <pic:cNvPr id="1514281448" name="image2.jpg"/>
                  <pic:cNvPicPr preferRelativeResize="0"/>
                </pic:nvPicPr>
                <pic:blipFill rotWithShape="1">
                  <a:blip r:embed="rId1">
                    <a:extLst>
                      <a:ext uri="{28A0092B-C50C-407E-A947-70E740481C1C}">
                        <a14:useLocalDpi xmlns:a14="http://schemas.microsoft.com/office/drawing/2010/main" val="0"/>
                      </a:ext>
                    </a:extLst>
                  </a:blip>
                  <a:srcRect r="67774"/>
                  <a:stretch/>
                </pic:blipFill>
                <pic:spPr bwMode="auto">
                  <a:xfrm>
                    <a:off x="0" y="0"/>
                    <a:ext cx="2476500" cy="1200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D560F">
      <w:rPr>
        <w:noProof/>
      </w:rPr>
      <w:drawing>
        <wp:anchor distT="0" distB="0" distL="114300" distR="114300" simplePos="0" relativeHeight="251677696" behindDoc="1" locked="0" layoutInCell="1" allowOverlap="1" wp14:anchorId="5EB76F82" wp14:editId="3E3DB6D4">
          <wp:simplePos x="0" y="0"/>
          <wp:positionH relativeFrom="column">
            <wp:posOffset>2287904</wp:posOffset>
          </wp:positionH>
          <wp:positionV relativeFrom="paragraph">
            <wp:posOffset>-20320</wp:posOffset>
          </wp:positionV>
          <wp:extent cx="4015727" cy="172720"/>
          <wp:effectExtent l="0" t="0" r="0" b="5080"/>
          <wp:wrapNone/>
          <wp:docPr id="3781867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2">
                    <a:extLst>
                      <a:ext uri="{28A0092B-C50C-407E-A947-70E740481C1C}">
                        <a14:useLocalDpi xmlns:a14="http://schemas.microsoft.com/office/drawing/2010/main" val="0"/>
                      </a:ext>
                    </a:extLst>
                  </a:blip>
                  <a:stretch>
                    <a:fillRect/>
                  </a:stretch>
                </pic:blipFill>
                <pic:spPr>
                  <a:xfrm>
                    <a:off x="0" y="0"/>
                    <a:ext cx="4872178" cy="209557"/>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6672" behindDoc="0" locked="0" layoutInCell="1" allowOverlap="1" wp14:anchorId="609BAC5E" wp14:editId="4F308BAE">
          <wp:simplePos x="0" y="0"/>
          <wp:positionH relativeFrom="column">
            <wp:posOffset>4955268</wp:posOffset>
          </wp:positionH>
          <wp:positionV relativeFrom="paragraph">
            <wp:posOffset>558800</wp:posOffset>
          </wp:positionV>
          <wp:extent cx="796925" cy="558800"/>
          <wp:effectExtent l="0" t="0" r="0" b="0"/>
          <wp:wrapNone/>
          <wp:docPr id="1517256757"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3">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B7F3B9"/>
    <w:multiLevelType w:val="singleLevel"/>
    <w:tmpl w:val="300A0001"/>
    <w:lvl w:ilvl="0">
      <w:start w:val="1"/>
      <w:numFmt w:val="bullet"/>
      <w:lvlText w:val=""/>
      <w:lvlJc w:val="left"/>
      <w:pPr>
        <w:ind w:left="720" w:hanging="360"/>
      </w:pPr>
      <w:rPr>
        <w:rFonts w:ascii="Symbol" w:hAnsi="Symbol" w:hint="default"/>
      </w:rPr>
    </w:lvl>
  </w:abstractNum>
  <w:abstractNum w:abstractNumId="1" w15:restartNumberingAfterBreak="0">
    <w:nsid w:val="00B7208E"/>
    <w:multiLevelType w:val="multilevel"/>
    <w:tmpl w:val="5DC4A30C"/>
    <w:lvl w:ilvl="0">
      <w:start w:val="1"/>
      <w:numFmt w:val="bullet"/>
      <w:lvlText w:val=""/>
      <w:lvlJc w:val="left"/>
      <w:pPr>
        <w:tabs>
          <w:tab w:val="num" w:pos="-219"/>
        </w:tabs>
        <w:ind w:left="-219" w:hanging="360"/>
      </w:pPr>
      <w:rPr>
        <w:rFonts w:ascii="Symbol" w:hAnsi="Symbol" w:hint="default"/>
        <w:sz w:val="20"/>
      </w:rPr>
    </w:lvl>
    <w:lvl w:ilvl="1" w:tentative="1">
      <w:start w:val="1"/>
      <w:numFmt w:val="bullet"/>
      <w:lvlText w:val="o"/>
      <w:lvlJc w:val="left"/>
      <w:pPr>
        <w:tabs>
          <w:tab w:val="num" w:pos="501"/>
        </w:tabs>
        <w:ind w:left="501" w:hanging="360"/>
      </w:pPr>
      <w:rPr>
        <w:rFonts w:ascii="Courier New" w:hAnsi="Courier New" w:hint="default"/>
        <w:sz w:val="20"/>
      </w:rPr>
    </w:lvl>
    <w:lvl w:ilvl="2" w:tentative="1">
      <w:start w:val="1"/>
      <w:numFmt w:val="bullet"/>
      <w:lvlText w:val=""/>
      <w:lvlJc w:val="left"/>
      <w:pPr>
        <w:tabs>
          <w:tab w:val="num" w:pos="1221"/>
        </w:tabs>
        <w:ind w:left="1221" w:hanging="360"/>
      </w:pPr>
      <w:rPr>
        <w:rFonts w:ascii="Wingdings" w:hAnsi="Wingdings" w:hint="default"/>
        <w:sz w:val="20"/>
      </w:rPr>
    </w:lvl>
    <w:lvl w:ilvl="3" w:tentative="1">
      <w:start w:val="1"/>
      <w:numFmt w:val="bullet"/>
      <w:lvlText w:val=""/>
      <w:lvlJc w:val="left"/>
      <w:pPr>
        <w:tabs>
          <w:tab w:val="num" w:pos="1941"/>
        </w:tabs>
        <w:ind w:left="1941" w:hanging="360"/>
      </w:pPr>
      <w:rPr>
        <w:rFonts w:ascii="Wingdings" w:hAnsi="Wingdings" w:hint="default"/>
        <w:sz w:val="20"/>
      </w:rPr>
    </w:lvl>
    <w:lvl w:ilvl="4" w:tentative="1">
      <w:start w:val="1"/>
      <w:numFmt w:val="bullet"/>
      <w:lvlText w:val=""/>
      <w:lvlJc w:val="left"/>
      <w:pPr>
        <w:tabs>
          <w:tab w:val="num" w:pos="2661"/>
        </w:tabs>
        <w:ind w:left="2661" w:hanging="360"/>
      </w:pPr>
      <w:rPr>
        <w:rFonts w:ascii="Wingdings" w:hAnsi="Wingdings" w:hint="default"/>
        <w:sz w:val="20"/>
      </w:rPr>
    </w:lvl>
    <w:lvl w:ilvl="5" w:tentative="1">
      <w:start w:val="1"/>
      <w:numFmt w:val="bullet"/>
      <w:lvlText w:val=""/>
      <w:lvlJc w:val="left"/>
      <w:pPr>
        <w:tabs>
          <w:tab w:val="num" w:pos="3381"/>
        </w:tabs>
        <w:ind w:left="3381" w:hanging="360"/>
      </w:pPr>
      <w:rPr>
        <w:rFonts w:ascii="Wingdings" w:hAnsi="Wingdings" w:hint="default"/>
        <w:sz w:val="20"/>
      </w:rPr>
    </w:lvl>
    <w:lvl w:ilvl="6" w:tentative="1">
      <w:start w:val="1"/>
      <w:numFmt w:val="bullet"/>
      <w:lvlText w:val=""/>
      <w:lvlJc w:val="left"/>
      <w:pPr>
        <w:tabs>
          <w:tab w:val="num" w:pos="4101"/>
        </w:tabs>
        <w:ind w:left="4101" w:hanging="360"/>
      </w:pPr>
      <w:rPr>
        <w:rFonts w:ascii="Wingdings" w:hAnsi="Wingdings" w:hint="default"/>
        <w:sz w:val="20"/>
      </w:rPr>
    </w:lvl>
    <w:lvl w:ilvl="7" w:tentative="1">
      <w:start w:val="1"/>
      <w:numFmt w:val="bullet"/>
      <w:lvlText w:val=""/>
      <w:lvlJc w:val="left"/>
      <w:pPr>
        <w:tabs>
          <w:tab w:val="num" w:pos="4821"/>
        </w:tabs>
        <w:ind w:left="4821" w:hanging="360"/>
      </w:pPr>
      <w:rPr>
        <w:rFonts w:ascii="Wingdings" w:hAnsi="Wingdings" w:hint="default"/>
        <w:sz w:val="20"/>
      </w:rPr>
    </w:lvl>
    <w:lvl w:ilvl="8" w:tentative="1">
      <w:start w:val="1"/>
      <w:numFmt w:val="bullet"/>
      <w:lvlText w:val=""/>
      <w:lvlJc w:val="left"/>
      <w:pPr>
        <w:tabs>
          <w:tab w:val="num" w:pos="5541"/>
        </w:tabs>
        <w:ind w:left="5541" w:hanging="360"/>
      </w:pPr>
      <w:rPr>
        <w:rFonts w:ascii="Wingdings" w:hAnsi="Wingdings" w:hint="default"/>
        <w:sz w:val="20"/>
      </w:rPr>
    </w:lvl>
  </w:abstractNum>
  <w:abstractNum w:abstractNumId="2" w15:restartNumberingAfterBreak="0">
    <w:nsid w:val="00CD634B"/>
    <w:multiLevelType w:val="hybridMultilevel"/>
    <w:tmpl w:val="0B4E1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ED0EA9"/>
    <w:multiLevelType w:val="hybridMultilevel"/>
    <w:tmpl w:val="8D44CEA4"/>
    <w:lvl w:ilvl="0" w:tplc="0C0A0001">
      <w:start w:val="1"/>
      <w:numFmt w:val="bullet"/>
      <w:lvlText w:val=""/>
      <w:lvlJc w:val="left"/>
      <w:pPr>
        <w:ind w:left="493" w:hanging="360"/>
      </w:pPr>
      <w:rPr>
        <w:rFonts w:ascii="Symbol" w:hAnsi="Symbol" w:hint="default"/>
      </w:rPr>
    </w:lvl>
    <w:lvl w:ilvl="1" w:tplc="0C0A0003">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4" w15:restartNumberingAfterBreak="0">
    <w:nsid w:val="02122648"/>
    <w:multiLevelType w:val="multilevel"/>
    <w:tmpl w:val="904E85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44E615D"/>
    <w:multiLevelType w:val="multilevel"/>
    <w:tmpl w:val="F3405F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4920B39"/>
    <w:multiLevelType w:val="hybridMultilevel"/>
    <w:tmpl w:val="779030A4"/>
    <w:lvl w:ilvl="0" w:tplc="865050EC">
      <w:numFmt w:val="bullet"/>
      <w:lvlText w:val="o"/>
      <w:lvlJc w:val="left"/>
      <w:pPr>
        <w:ind w:left="1646" w:hanging="360"/>
      </w:pPr>
      <w:rPr>
        <w:rFonts w:ascii="Courier New" w:eastAsia="Courier New" w:hAnsi="Courier New" w:cs="Courier New" w:hint="default"/>
        <w:w w:val="97"/>
        <w:sz w:val="20"/>
        <w:szCs w:val="20"/>
        <w:lang w:val="es-ES" w:eastAsia="en-US" w:bidi="ar-SA"/>
      </w:rPr>
    </w:lvl>
    <w:lvl w:ilvl="1" w:tplc="EB9C8664">
      <w:numFmt w:val="bullet"/>
      <w:lvlText w:val="•"/>
      <w:lvlJc w:val="left"/>
      <w:pPr>
        <w:ind w:left="2456" w:hanging="360"/>
      </w:pPr>
      <w:rPr>
        <w:rFonts w:hint="default"/>
        <w:lang w:val="es-ES" w:eastAsia="en-US" w:bidi="ar-SA"/>
      </w:rPr>
    </w:lvl>
    <w:lvl w:ilvl="2" w:tplc="54B2BB06">
      <w:numFmt w:val="bullet"/>
      <w:lvlText w:val="•"/>
      <w:lvlJc w:val="left"/>
      <w:pPr>
        <w:ind w:left="3272" w:hanging="360"/>
      </w:pPr>
      <w:rPr>
        <w:rFonts w:hint="default"/>
        <w:lang w:val="es-ES" w:eastAsia="en-US" w:bidi="ar-SA"/>
      </w:rPr>
    </w:lvl>
    <w:lvl w:ilvl="3" w:tplc="548C1356">
      <w:numFmt w:val="bullet"/>
      <w:lvlText w:val="•"/>
      <w:lvlJc w:val="left"/>
      <w:pPr>
        <w:ind w:left="4088" w:hanging="360"/>
      </w:pPr>
      <w:rPr>
        <w:rFonts w:hint="default"/>
        <w:lang w:val="es-ES" w:eastAsia="en-US" w:bidi="ar-SA"/>
      </w:rPr>
    </w:lvl>
    <w:lvl w:ilvl="4" w:tplc="1BA28D32">
      <w:numFmt w:val="bullet"/>
      <w:lvlText w:val="•"/>
      <w:lvlJc w:val="left"/>
      <w:pPr>
        <w:ind w:left="4904" w:hanging="360"/>
      </w:pPr>
      <w:rPr>
        <w:rFonts w:hint="default"/>
        <w:lang w:val="es-ES" w:eastAsia="en-US" w:bidi="ar-SA"/>
      </w:rPr>
    </w:lvl>
    <w:lvl w:ilvl="5" w:tplc="4CAA6340">
      <w:numFmt w:val="bullet"/>
      <w:lvlText w:val="•"/>
      <w:lvlJc w:val="left"/>
      <w:pPr>
        <w:ind w:left="5720" w:hanging="360"/>
      </w:pPr>
      <w:rPr>
        <w:rFonts w:hint="default"/>
        <w:lang w:val="es-ES" w:eastAsia="en-US" w:bidi="ar-SA"/>
      </w:rPr>
    </w:lvl>
    <w:lvl w:ilvl="6" w:tplc="FAA63F96">
      <w:numFmt w:val="bullet"/>
      <w:lvlText w:val="•"/>
      <w:lvlJc w:val="left"/>
      <w:pPr>
        <w:ind w:left="6536" w:hanging="360"/>
      </w:pPr>
      <w:rPr>
        <w:rFonts w:hint="default"/>
        <w:lang w:val="es-ES" w:eastAsia="en-US" w:bidi="ar-SA"/>
      </w:rPr>
    </w:lvl>
    <w:lvl w:ilvl="7" w:tplc="B8BCAF16">
      <w:numFmt w:val="bullet"/>
      <w:lvlText w:val="•"/>
      <w:lvlJc w:val="left"/>
      <w:pPr>
        <w:ind w:left="7352" w:hanging="360"/>
      </w:pPr>
      <w:rPr>
        <w:rFonts w:hint="default"/>
        <w:lang w:val="es-ES" w:eastAsia="en-US" w:bidi="ar-SA"/>
      </w:rPr>
    </w:lvl>
    <w:lvl w:ilvl="8" w:tplc="904E8328">
      <w:numFmt w:val="bullet"/>
      <w:lvlText w:val="•"/>
      <w:lvlJc w:val="left"/>
      <w:pPr>
        <w:ind w:left="8168" w:hanging="360"/>
      </w:pPr>
      <w:rPr>
        <w:rFonts w:hint="default"/>
        <w:lang w:val="es-ES" w:eastAsia="en-US" w:bidi="ar-SA"/>
      </w:rPr>
    </w:lvl>
  </w:abstractNum>
  <w:abstractNum w:abstractNumId="7" w15:restartNumberingAfterBreak="0">
    <w:nsid w:val="04B77F50"/>
    <w:multiLevelType w:val="hybridMultilevel"/>
    <w:tmpl w:val="199617DA"/>
    <w:lvl w:ilvl="0" w:tplc="8E04A04C">
      <w:start w:val="1"/>
      <w:numFmt w:val="lowerRoman"/>
      <w:lvlText w:val="%1)"/>
      <w:lvlJc w:val="left"/>
      <w:pPr>
        <w:ind w:left="720" w:hanging="720"/>
      </w:pPr>
      <w:rPr>
        <w:b/>
      </w:rPr>
    </w:lvl>
    <w:lvl w:ilvl="1" w:tplc="300A0019">
      <w:start w:val="1"/>
      <w:numFmt w:val="lowerLetter"/>
      <w:lvlText w:val="%2."/>
      <w:lvlJc w:val="left"/>
      <w:pPr>
        <w:ind w:left="1080" w:hanging="360"/>
      </w:pPr>
    </w:lvl>
    <w:lvl w:ilvl="2" w:tplc="300A001B">
      <w:start w:val="1"/>
      <w:numFmt w:val="lowerRoman"/>
      <w:lvlText w:val="%3."/>
      <w:lvlJc w:val="right"/>
      <w:pPr>
        <w:ind w:left="1800" w:hanging="180"/>
      </w:pPr>
    </w:lvl>
    <w:lvl w:ilvl="3" w:tplc="300A000F">
      <w:start w:val="1"/>
      <w:numFmt w:val="decimal"/>
      <w:lvlText w:val="%4."/>
      <w:lvlJc w:val="left"/>
      <w:pPr>
        <w:ind w:left="2520" w:hanging="360"/>
      </w:pPr>
    </w:lvl>
    <w:lvl w:ilvl="4" w:tplc="300A0019">
      <w:start w:val="1"/>
      <w:numFmt w:val="lowerLetter"/>
      <w:lvlText w:val="%5."/>
      <w:lvlJc w:val="left"/>
      <w:pPr>
        <w:ind w:left="3240" w:hanging="360"/>
      </w:pPr>
    </w:lvl>
    <w:lvl w:ilvl="5" w:tplc="300A001B">
      <w:start w:val="1"/>
      <w:numFmt w:val="lowerRoman"/>
      <w:lvlText w:val="%6."/>
      <w:lvlJc w:val="right"/>
      <w:pPr>
        <w:ind w:left="3960" w:hanging="180"/>
      </w:pPr>
    </w:lvl>
    <w:lvl w:ilvl="6" w:tplc="300A000F">
      <w:start w:val="1"/>
      <w:numFmt w:val="decimal"/>
      <w:lvlText w:val="%7."/>
      <w:lvlJc w:val="left"/>
      <w:pPr>
        <w:ind w:left="4680" w:hanging="360"/>
      </w:pPr>
    </w:lvl>
    <w:lvl w:ilvl="7" w:tplc="300A0019">
      <w:start w:val="1"/>
      <w:numFmt w:val="lowerLetter"/>
      <w:lvlText w:val="%8."/>
      <w:lvlJc w:val="left"/>
      <w:pPr>
        <w:ind w:left="5400" w:hanging="360"/>
      </w:pPr>
    </w:lvl>
    <w:lvl w:ilvl="8" w:tplc="300A001B">
      <w:start w:val="1"/>
      <w:numFmt w:val="lowerRoman"/>
      <w:lvlText w:val="%9."/>
      <w:lvlJc w:val="right"/>
      <w:pPr>
        <w:ind w:left="6120" w:hanging="180"/>
      </w:pPr>
    </w:lvl>
  </w:abstractNum>
  <w:abstractNum w:abstractNumId="8" w15:restartNumberingAfterBreak="0">
    <w:nsid w:val="05A54043"/>
    <w:multiLevelType w:val="multilevel"/>
    <w:tmpl w:val="0D98D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5C87356"/>
    <w:multiLevelType w:val="multilevel"/>
    <w:tmpl w:val="F124B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1904E0"/>
    <w:multiLevelType w:val="hybridMultilevel"/>
    <w:tmpl w:val="5E72D21A"/>
    <w:lvl w:ilvl="0" w:tplc="EB640DDA">
      <w:numFmt w:val="bullet"/>
      <w:lvlText w:val=""/>
      <w:lvlJc w:val="left"/>
      <w:pPr>
        <w:ind w:left="938" w:hanging="360"/>
      </w:pPr>
      <w:rPr>
        <w:rFonts w:ascii="Symbol" w:eastAsia="Symbol" w:hAnsi="Symbol" w:cs="Symbol" w:hint="default"/>
        <w:color w:val="000009"/>
        <w:w w:val="97"/>
        <w:sz w:val="20"/>
        <w:szCs w:val="20"/>
        <w:lang w:val="es-ES" w:eastAsia="en-US" w:bidi="ar-SA"/>
      </w:rPr>
    </w:lvl>
    <w:lvl w:ilvl="1" w:tplc="A8A6851C">
      <w:numFmt w:val="bullet"/>
      <w:lvlText w:val="•"/>
      <w:lvlJc w:val="left"/>
      <w:pPr>
        <w:ind w:left="1826" w:hanging="360"/>
      </w:pPr>
      <w:rPr>
        <w:rFonts w:hint="default"/>
        <w:lang w:val="es-ES" w:eastAsia="en-US" w:bidi="ar-SA"/>
      </w:rPr>
    </w:lvl>
    <w:lvl w:ilvl="2" w:tplc="249A8F10">
      <w:numFmt w:val="bullet"/>
      <w:lvlText w:val="•"/>
      <w:lvlJc w:val="left"/>
      <w:pPr>
        <w:ind w:left="2712" w:hanging="360"/>
      </w:pPr>
      <w:rPr>
        <w:rFonts w:hint="default"/>
        <w:lang w:val="es-ES" w:eastAsia="en-US" w:bidi="ar-SA"/>
      </w:rPr>
    </w:lvl>
    <w:lvl w:ilvl="3" w:tplc="F19A5390">
      <w:numFmt w:val="bullet"/>
      <w:lvlText w:val="•"/>
      <w:lvlJc w:val="left"/>
      <w:pPr>
        <w:ind w:left="3598" w:hanging="360"/>
      </w:pPr>
      <w:rPr>
        <w:rFonts w:hint="default"/>
        <w:lang w:val="es-ES" w:eastAsia="en-US" w:bidi="ar-SA"/>
      </w:rPr>
    </w:lvl>
    <w:lvl w:ilvl="4" w:tplc="544C3890">
      <w:numFmt w:val="bullet"/>
      <w:lvlText w:val="•"/>
      <w:lvlJc w:val="left"/>
      <w:pPr>
        <w:ind w:left="4484" w:hanging="360"/>
      </w:pPr>
      <w:rPr>
        <w:rFonts w:hint="default"/>
        <w:lang w:val="es-ES" w:eastAsia="en-US" w:bidi="ar-SA"/>
      </w:rPr>
    </w:lvl>
    <w:lvl w:ilvl="5" w:tplc="75BAEC6A">
      <w:numFmt w:val="bullet"/>
      <w:lvlText w:val="•"/>
      <w:lvlJc w:val="left"/>
      <w:pPr>
        <w:ind w:left="5370" w:hanging="360"/>
      </w:pPr>
      <w:rPr>
        <w:rFonts w:hint="default"/>
        <w:lang w:val="es-ES" w:eastAsia="en-US" w:bidi="ar-SA"/>
      </w:rPr>
    </w:lvl>
    <w:lvl w:ilvl="6" w:tplc="418AB9E8">
      <w:numFmt w:val="bullet"/>
      <w:lvlText w:val="•"/>
      <w:lvlJc w:val="left"/>
      <w:pPr>
        <w:ind w:left="6256" w:hanging="360"/>
      </w:pPr>
      <w:rPr>
        <w:rFonts w:hint="default"/>
        <w:lang w:val="es-ES" w:eastAsia="en-US" w:bidi="ar-SA"/>
      </w:rPr>
    </w:lvl>
    <w:lvl w:ilvl="7" w:tplc="92008EAE">
      <w:numFmt w:val="bullet"/>
      <w:lvlText w:val="•"/>
      <w:lvlJc w:val="left"/>
      <w:pPr>
        <w:ind w:left="7142" w:hanging="360"/>
      </w:pPr>
      <w:rPr>
        <w:rFonts w:hint="default"/>
        <w:lang w:val="es-ES" w:eastAsia="en-US" w:bidi="ar-SA"/>
      </w:rPr>
    </w:lvl>
    <w:lvl w:ilvl="8" w:tplc="3DC4189C">
      <w:numFmt w:val="bullet"/>
      <w:lvlText w:val="•"/>
      <w:lvlJc w:val="left"/>
      <w:pPr>
        <w:ind w:left="8028" w:hanging="360"/>
      </w:pPr>
      <w:rPr>
        <w:rFonts w:hint="default"/>
        <w:lang w:val="es-ES" w:eastAsia="en-US" w:bidi="ar-SA"/>
      </w:rPr>
    </w:lvl>
  </w:abstractNum>
  <w:abstractNum w:abstractNumId="11"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12" w15:restartNumberingAfterBreak="0">
    <w:nsid w:val="08E32CA8"/>
    <w:multiLevelType w:val="multilevel"/>
    <w:tmpl w:val="CD26E926"/>
    <w:lvl w:ilvl="0">
      <w:start w:val="1"/>
      <w:numFmt w:val="bullet"/>
      <w:lvlText w:val=""/>
      <w:lvlJc w:val="left"/>
      <w:pPr>
        <w:ind w:left="1919" w:hanging="360"/>
      </w:pPr>
      <w:rPr>
        <w:rFonts w:ascii="Wingdings" w:hAnsi="Wingdings" w:hint="default"/>
        <w:lang w:val="es-ES"/>
      </w:rPr>
    </w:lvl>
    <w:lvl w:ilvl="1">
      <w:start w:val="1"/>
      <w:numFmt w:val="bullet"/>
      <w:lvlText w:val="o"/>
      <w:lvlJc w:val="left"/>
      <w:pPr>
        <w:ind w:left="2639" w:hanging="360"/>
      </w:pPr>
      <w:rPr>
        <w:rFonts w:ascii="Courier New" w:hAnsi="Courier New" w:cs="Courier New" w:hint="default"/>
      </w:rPr>
    </w:lvl>
    <w:lvl w:ilvl="2">
      <w:start w:val="1"/>
      <w:numFmt w:val="bullet"/>
      <w:lvlText w:val=""/>
      <w:lvlJc w:val="left"/>
      <w:pPr>
        <w:ind w:left="3359" w:hanging="360"/>
      </w:pPr>
      <w:rPr>
        <w:rFonts w:ascii="Wingdings" w:hAnsi="Wingdings" w:hint="default"/>
      </w:rPr>
    </w:lvl>
    <w:lvl w:ilvl="3">
      <w:start w:val="1"/>
      <w:numFmt w:val="bullet"/>
      <w:lvlText w:val=""/>
      <w:lvlJc w:val="left"/>
      <w:pPr>
        <w:ind w:left="4079" w:hanging="360"/>
      </w:pPr>
      <w:rPr>
        <w:rFonts w:ascii="Symbol" w:hAnsi="Symbol" w:hint="default"/>
      </w:rPr>
    </w:lvl>
    <w:lvl w:ilvl="4">
      <w:start w:val="1"/>
      <w:numFmt w:val="bullet"/>
      <w:lvlText w:val="o"/>
      <w:lvlJc w:val="left"/>
      <w:pPr>
        <w:ind w:left="4799" w:hanging="360"/>
      </w:pPr>
      <w:rPr>
        <w:rFonts w:ascii="Courier New" w:hAnsi="Courier New" w:cs="Courier New" w:hint="default"/>
      </w:rPr>
    </w:lvl>
    <w:lvl w:ilvl="5">
      <w:start w:val="1"/>
      <w:numFmt w:val="bullet"/>
      <w:lvlText w:val=""/>
      <w:lvlJc w:val="left"/>
      <w:pPr>
        <w:ind w:left="5519" w:hanging="360"/>
      </w:pPr>
      <w:rPr>
        <w:rFonts w:ascii="Wingdings" w:hAnsi="Wingdings" w:hint="default"/>
      </w:rPr>
    </w:lvl>
    <w:lvl w:ilvl="6">
      <w:start w:val="1"/>
      <w:numFmt w:val="bullet"/>
      <w:lvlText w:val=""/>
      <w:lvlJc w:val="left"/>
      <w:pPr>
        <w:ind w:left="6239" w:hanging="360"/>
      </w:pPr>
      <w:rPr>
        <w:rFonts w:ascii="Symbol" w:hAnsi="Symbol" w:hint="default"/>
      </w:rPr>
    </w:lvl>
    <w:lvl w:ilvl="7">
      <w:start w:val="1"/>
      <w:numFmt w:val="bullet"/>
      <w:lvlText w:val="o"/>
      <w:lvlJc w:val="left"/>
      <w:pPr>
        <w:ind w:left="6959" w:hanging="360"/>
      </w:pPr>
      <w:rPr>
        <w:rFonts w:ascii="Courier New" w:hAnsi="Courier New" w:cs="Courier New" w:hint="default"/>
      </w:rPr>
    </w:lvl>
    <w:lvl w:ilvl="8">
      <w:start w:val="1"/>
      <w:numFmt w:val="bullet"/>
      <w:lvlText w:val=""/>
      <w:lvlJc w:val="left"/>
      <w:pPr>
        <w:ind w:left="7679" w:hanging="360"/>
      </w:pPr>
      <w:rPr>
        <w:rFonts w:ascii="Wingdings" w:hAnsi="Wingdings" w:hint="default"/>
      </w:rPr>
    </w:lvl>
  </w:abstractNum>
  <w:abstractNum w:abstractNumId="13" w15:restartNumberingAfterBreak="0">
    <w:nsid w:val="09577B81"/>
    <w:multiLevelType w:val="hybridMultilevel"/>
    <w:tmpl w:val="9154DC54"/>
    <w:lvl w:ilvl="0" w:tplc="3B629F24">
      <w:numFmt w:val="bullet"/>
      <w:lvlText w:val="o"/>
      <w:lvlJc w:val="left"/>
      <w:pPr>
        <w:ind w:left="1650" w:hanging="365"/>
      </w:pPr>
      <w:rPr>
        <w:rFonts w:ascii="Courier New" w:eastAsia="Courier New" w:hAnsi="Courier New" w:cs="Courier New" w:hint="default"/>
        <w:w w:val="95"/>
        <w:sz w:val="20"/>
        <w:szCs w:val="20"/>
        <w:lang w:val="es-ES" w:eastAsia="en-US" w:bidi="ar-SA"/>
      </w:rPr>
    </w:lvl>
    <w:lvl w:ilvl="1" w:tplc="B2D8ABE0">
      <w:numFmt w:val="bullet"/>
      <w:lvlText w:val="•"/>
      <w:lvlJc w:val="left"/>
      <w:pPr>
        <w:ind w:left="2171" w:hanging="303"/>
      </w:pPr>
      <w:rPr>
        <w:rFonts w:ascii="Arial MT" w:eastAsia="Arial MT" w:hAnsi="Arial MT" w:cs="Arial MT" w:hint="default"/>
        <w:w w:val="96"/>
        <w:sz w:val="20"/>
        <w:szCs w:val="20"/>
        <w:lang w:val="es-ES" w:eastAsia="en-US" w:bidi="ar-SA"/>
      </w:rPr>
    </w:lvl>
    <w:lvl w:ilvl="2" w:tplc="400ED7DA">
      <w:numFmt w:val="bullet"/>
      <w:lvlText w:val="•"/>
      <w:lvlJc w:val="left"/>
      <w:pPr>
        <w:ind w:left="2690" w:hanging="363"/>
      </w:pPr>
      <w:rPr>
        <w:rFonts w:ascii="Arial MT" w:eastAsia="Arial MT" w:hAnsi="Arial MT" w:cs="Arial MT" w:hint="default"/>
        <w:w w:val="96"/>
        <w:sz w:val="20"/>
        <w:szCs w:val="20"/>
        <w:lang w:val="es-ES" w:eastAsia="en-US" w:bidi="ar-SA"/>
      </w:rPr>
    </w:lvl>
    <w:lvl w:ilvl="3" w:tplc="4FFCE602">
      <w:numFmt w:val="bullet"/>
      <w:lvlText w:val="•"/>
      <w:lvlJc w:val="left"/>
      <w:pPr>
        <w:ind w:left="3587" w:hanging="363"/>
      </w:pPr>
      <w:rPr>
        <w:rFonts w:hint="default"/>
        <w:lang w:val="es-ES" w:eastAsia="en-US" w:bidi="ar-SA"/>
      </w:rPr>
    </w:lvl>
    <w:lvl w:ilvl="4" w:tplc="8A844F72">
      <w:numFmt w:val="bullet"/>
      <w:lvlText w:val="•"/>
      <w:lvlJc w:val="left"/>
      <w:pPr>
        <w:ind w:left="4475" w:hanging="363"/>
      </w:pPr>
      <w:rPr>
        <w:rFonts w:hint="default"/>
        <w:lang w:val="es-ES" w:eastAsia="en-US" w:bidi="ar-SA"/>
      </w:rPr>
    </w:lvl>
    <w:lvl w:ilvl="5" w:tplc="508C5E1A">
      <w:numFmt w:val="bullet"/>
      <w:lvlText w:val="•"/>
      <w:lvlJc w:val="left"/>
      <w:pPr>
        <w:ind w:left="5362" w:hanging="363"/>
      </w:pPr>
      <w:rPr>
        <w:rFonts w:hint="default"/>
        <w:lang w:val="es-ES" w:eastAsia="en-US" w:bidi="ar-SA"/>
      </w:rPr>
    </w:lvl>
    <w:lvl w:ilvl="6" w:tplc="9858E6C6">
      <w:numFmt w:val="bullet"/>
      <w:lvlText w:val="•"/>
      <w:lvlJc w:val="left"/>
      <w:pPr>
        <w:ind w:left="6250" w:hanging="363"/>
      </w:pPr>
      <w:rPr>
        <w:rFonts w:hint="default"/>
        <w:lang w:val="es-ES" w:eastAsia="en-US" w:bidi="ar-SA"/>
      </w:rPr>
    </w:lvl>
    <w:lvl w:ilvl="7" w:tplc="C024DD76">
      <w:numFmt w:val="bullet"/>
      <w:lvlText w:val="•"/>
      <w:lvlJc w:val="left"/>
      <w:pPr>
        <w:ind w:left="7138" w:hanging="363"/>
      </w:pPr>
      <w:rPr>
        <w:rFonts w:hint="default"/>
        <w:lang w:val="es-ES" w:eastAsia="en-US" w:bidi="ar-SA"/>
      </w:rPr>
    </w:lvl>
    <w:lvl w:ilvl="8" w:tplc="76FAC630">
      <w:numFmt w:val="bullet"/>
      <w:lvlText w:val="•"/>
      <w:lvlJc w:val="left"/>
      <w:pPr>
        <w:ind w:left="8025" w:hanging="363"/>
      </w:pPr>
      <w:rPr>
        <w:rFonts w:hint="default"/>
        <w:lang w:val="es-ES" w:eastAsia="en-US" w:bidi="ar-SA"/>
      </w:rPr>
    </w:lvl>
  </w:abstractNum>
  <w:abstractNum w:abstractNumId="14" w15:restartNumberingAfterBreak="0">
    <w:nsid w:val="09F53C86"/>
    <w:multiLevelType w:val="hybridMultilevel"/>
    <w:tmpl w:val="8F6490CE"/>
    <w:lvl w:ilvl="0" w:tplc="FFFFFFFF">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09FB04DF"/>
    <w:multiLevelType w:val="multilevel"/>
    <w:tmpl w:val="17E29890"/>
    <w:lvl w:ilvl="0">
      <w:start w:val="1"/>
      <w:numFmt w:val="lowerLetter"/>
      <w:lvlText w:val="%1."/>
      <w:lvlJc w:val="left"/>
      <w:pPr>
        <w:ind w:left="720" w:hanging="360"/>
      </w:pPr>
      <w:rPr>
        <w:rFonts w:ascii="Calibri" w:hAnsi="Calibri" w:hint="default"/>
        <w:sz w:val="21"/>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A5C27BD"/>
    <w:multiLevelType w:val="multilevel"/>
    <w:tmpl w:val="DC1C9EA8"/>
    <w:lvl w:ilvl="0">
      <w:start w:val="1"/>
      <w:numFmt w:val="lowerLetter"/>
      <w:lvlText w:val="%1."/>
      <w:lvlJc w:val="left"/>
      <w:pPr>
        <w:ind w:left="720" w:hanging="360"/>
      </w:pPr>
      <w:rPr>
        <w:rFonts w:hint="default"/>
        <w:color w:val="000000" w:themeColor="text1"/>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B706F46"/>
    <w:multiLevelType w:val="hybridMultilevel"/>
    <w:tmpl w:val="1D52172A"/>
    <w:lvl w:ilvl="0" w:tplc="2766F944">
      <w:numFmt w:val="bullet"/>
      <w:lvlText w:val="-"/>
      <w:lvlJc w:val="left"/>
      <w:pPr>
        <w:ind w:left="938" w:hanging="363"/>
      </w:pPr>
      <w:rPr>
        <w:rFonts w:ascii="Calibri" w:eastAsia="Calibri" w:hAnsi="Calibri" w:cs="Calibri" w:hint="default"/>
        <w:w w:val="97"/>
        <w:sz w:val="20"/>
        <w:szCs w:val="20"/>
        <w:lang w:val="es-ES" w:eastAsia="en-US" w:bidi="ar-SA"/>
      </w:rPr>
    </w:lvl>
    <w:lvl w:ilvl="1" w:tplc="63D45B8C">
      <w:numFmt w:val="bullet"/>
      <w:lvlText w:val="-"/>
      <w:lvlJc w:val="left"/>
      <w:pPr>
        <w:ind w:left="1415" w:hanging="358"/>
      </w:pPr>
      <w:rPr>
        <w:rFonts w:ascii="Calibri" w:eastAsia="Calibri" w:hAnsi="Calibri" w:cs="Calibri" w:hint="default"/>
        <w:w w:val="97"/>
        <w:sz w:val="20"/>
        <w:szCs w:val="20"/>
        <w:lang w:val="es-ES" w:eastAsia="en-US" w:bidi="ar-SA"/>
      </w:rPr>
    </w:lvl>
    <w:lvl w:ilvl="2" w:tplc="7E3AF29E">
      <w:numFmt w:val="bullet"/>
      <w:lvlText w:val="•"/>
      <w:lvlJc w:val="left"/>
      <w:pPr>
        <w:ind w:left="2351" w:hanging="358"/>
      </w:pPr>
      <w:rPr>
        <w:rFonts w:hint="default"/>
        <w:lang w:val="es-ES" w:eastAsia="en-US" w:bidi="ar-SA"/>
      </w:rPr>
    </w:lvl>
    <w:lvl w:ilvl="3" w:tplc="4008C8C4">
      <w:numFmt w:val="bullet"/>
      <w:lvlText w:val="•"/>
      <w:lvlJc w:val="left"/>
      <w:pPr>
        <w:ind w:left="3282" w:hanging="358"/>
      </w:pPr>
      <w:rPr>
        <w:rFonts w:hint="default"/>
        <w:lang w:val="es-ES" w:eastAsia="en-US" w:bidi="ar-SA"/>
      </w:rPr>
    </w:lvl>
    <w:lvl w:ilvl="4" w:tplc="97FC19D8">
      <w:numFmt w:val="bullet"/>
      <w:lvlText w:val="•"/>
      <w:lvlJc w:val="left"/>
      <w:pPr>
        <w:ind w:left="4213" w:hanging="358"/>
      </w:pPr>
      <w:rPr>
        <w:rFonts w:hint="default"/>
        <w:lang w:val="es-ES" w:eastAsia="en-US" w:bidi="ar-SA"/>
      </w:rPr>
    </w:lvl>
    <w:lvl w:ilvl="5" w:tplc="D408F490">
      <w:numFmt w:val="bullet"/>
      <w:lvlText w:val="•"/>
      <w:lvlJc w:val="left"/>
      <w:pPr>
        <w:ind w:left="5144" w:hanging="358"/>
      </w:pPr>
      <w:rPr>
        <w:rFonts w:hint="default"/>
        <w:lang w:val="es-ES" w:eastAsia="en-US" w:bidi="ar-SA"/>
      </w:rPr>
    </w:lvl>
    <w:lvl w:ilvl="6" w:tplc="ED4AB3C4">
      <w:numFmt w:val="bullet"/>
      <w:lvlText w:val="•"/>
      <w:lvlJc w:val="left"/>
      <w:pPr>
        <w:ind w:left="6076" w:hanging="358"/>
      </w:pPr>
      <w:rPr>
        <w:rFonts w:hint="default"/>
        <w:lang w:val="es-ES" w:eastAsia="en-US" w:bidi="ar-SA"/>
      </w:rPr>
    </w:lvl>
    <w:lvl w:ilvl="7" w:tplc="01EE7C48">
      <w:numFmt w:val="bullet"/>
      <w:lvlText w:val="•"/>
      <w:lvlJc w:val="left"/>
      <w:pPr>
        <w:ind w:left="7007" w:hanging="358"/>
      </w:pPr>
      <w:rPr>
        <w:rFonts w:hint="default"/>
        <w:lang w:val="es-ES" w:eastAsia="en-US" w:bidi="ar-SA"/>
      </w:rPr>
    </w:lvl>
    <w:lvl w:ilvl="8" w:tplc="7BDC4B40">
      <w:numFmt w:val="bullet"/>
      <w:lvlText w:val="•"/>
      <w:lvlJc w:val="left"/>
      <w:pPr>
        <w:ind w:left="7938" w:hanging="358"/>
      </w:pPr>
      <w:rPr>
        <w:rFonts w:hint="default"/>
        <w:lang w:val="es-ES" w:eastAsia="en-US" w:bidi="ar-SA"/>
      </w:rPr>
    </w:lvl>
  </w:abstractNum>
  <w:abstractNum w:abstractNumId="18" w15:restartNumberingAfterBreak="0">
    <w:nsid w:val="0B794546"/>
    <w:multiLevelType w:val="multilevel"/>
    <w:tmpl w:val="BB482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CF71C3A"/>
    <w:multiLevelType w:val="hybridMultilevel"/>
    <w:tmpl w:val="B51EC12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0D3C77BE"/>
    <w:multiLevelType w:val="hybridMultilevel"/>
    <w:tmpl w:val="0C8A440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0D813567"/>
    <w:multiLevelType w:val="multilevel"/>
    <w:tmpl w:val="DC8EA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EAA4899"/>
    <w:multiLevelType w:val="hybridMultilevel"/>
    <w:tmpl w:val="53E4B7DC"/>
    <w:lvl w:ilvl="0" w:tplc="EDD6AA60">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0F210E45"/>
    <w:multiLevelType w:val="hybridMultilevel"/>
    <w:tmpl w:val="B516B226"/>
    <w:lvl w:ilvl="0" w:tplc="EA7C214A">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25" w15:restartNumberingAfterBreak="0">
    <w:nsid w:val="0F6F4591"/>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 w15:restartNumberingAfterBreak="0">
    <w:nsid w:val="101529F1"/>
    <w:multiLevelType w:val="multilevel"/>
    <w:tmpl w:val="561AB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0CD364E"/>
    <w:multiLevelType w:val="hybridMultilevel"/>
    <w:tmpl w:val="1FE4CD8C"/>
    <w:lvl w:ilvl="0" w:tplc="0A00DDE0">
      <w:numFmt w:val="bullet"/>
      <w:lvlText w:val="-"/>
      <w:lvlJc w:val="left"/>
      <w:pPr>
        <w:ind w:left="998" w:hanging="420"/>
      </w:pPr>
      <w:rPr>
        <w:rFonts w:ascii="Calibri" w:eastAsia="Calibri" w:hAnsi="Calibri" w:cs="Calibri" w:hint="default"/>
        <w:w w:val="97"/>
        <w:sz w:val="20"/>
        <w:szCs w:val="20"/>
        <w:lang w:val="es-ES" w:eastAsia="en-US" w:bidi="ar-SA"/>
      </w:rPr>
    </w:lvl>
    <w:lvl w:ilvl="1" w:tplc="7F8488F4">
      <w:numFmt w:val="bullet"/>
      <w:lvlText w:val="•"/>
      <w:lvlJc w:val="left"/>
      <w:pPr>
        <w:ind w:left="1880" w:hanging="420"/>
      </w:pPr>
      <w:rPr>
        <w:rFonts w:hint="default"/>
        <w:lang w:val="es-ES" w:eastAsia="en-US" w:bidi="ar-SA"/>
      </w:rPr>
    </w:lvl>
    <w:lvl w:ilvl="2" w:tplc="818686D2">
      <w:numFmt w:val="bullet"/>
      <w:lvlText w:val="•"/>
      <w:lvlJc w:val="left"/>
      <w:pPr>
        <w:ind w:left="2760" w:hanging="420"/>
      </w:pPr>
      <w:rPr>
        <w:rFonts w:hint="default"/>
        <w:lang w:val="es-ES" w:eastAsia="en-US" w:bidi="ar-SA"/>
      </w:rPr>
    </w:lvl>
    <w:lvl w:ilvl="3" w:tplc="A588FA62">
      <w:numFmt w:val="bullet"/>
      <w:lvlText w:val="•"/>
      <w:lvlJc w:val="left"/>
      <w:pPr>
        <w:ind w:left="3640" w:hanging="420"/>
      </w:pPr>
      <w:rPr>
        <w:rFonts w:hint="default"/>
        <w:lang w:val="es-ES" w:eastAsia="en-US" w:bidi="ar-SA"/>
      </w:rPr>
    </w:lvl>
    <w:lvl w:ilvl="4" w:tplc="108ADB1A">
      <w:numFmt w:val="bullet"/>
      <w:lvlText w:val="•"/>
      <w:lvlJc w:val="left"/>
      <w:pPr>
        <w:ind w:left="4520" w:hanging="420"/>
      </w:pPr>
      <w:rPr>
        <w:rFonts w:hint="default"/>
        <w:lang w:val="es-ES" w:eastAsia="en-US" w:bidi="ar-SA"/>
      </w:rPr>
    </w:lvl>
    <w:lvl w:ilvl="5" w:tplc="FCBA0FF2">
      <w:numFmt w:val="bullet"/>
      <w:lvlText w:val="•"/>
      <w:lvlJc w:val="left"/>
      <w:pPr>
        <w:ind w:left="5400" w:hanging="420"/>
      </w:pPr>
      <w:rPr>
        <w:rFonts w:hint="default"/>
        <w:lang w:val="es-ES" w:eastAsia="en-US" w:bidi="ar-SA"/>
      </w:rPr>
    </w:lvl>
    <w:lvl w:ilvl="6" w:tplc="1460F448">
      <w:numFmt w:val="bullet"/>
      <w:lvlText w:val="•"/>
      <w:lvlJc w:val="left"/>
      <w:pPr>
        <w:ind w:left="6280" w:hanging="420"/>
      </w:pPr>
      <w:rPr>
        <w:rFonts w:hint="default"/>
        <w:lang w:val="es-ES" w:eastAsia="en-US" w:bidi="ar-SA"/>
      </w:rPr>
    </w:lvl>
    <w:lvl w:ilvl="7" w:tplc="F2D2FE24">
      <w:numFmt w:val="bullet"/>
      <w:lvlText w:val="•"/>
      <w:lvlJc w:val="left"/>
      <w:pPr>
        <w:ind w:left="7160" w:hanging="420"/>
      </w:pPr>
      <w:rPr>
        <w:rFonts w:hint="default"/>
        <w:lang w:val="es-ES" w:eastAsia="en-US" w:bidi="ar-SA"/>
      </w:rPr>
    </w:lvl>
    <w:lvl w:ilvl="8" w:tplc="77F2E3B2">
      <w:numFmt w:val="bullet"/>
      <w:lvlText w:val="•"/>
      <w:lvlJc w:val="left"/>
      <w:pPr>
        <w:ind w:left="8040" w:hanging="420"/>
      </w:pPr>
      <w:rPr>
        <w:rFonts w:hint="default"/>
        <w:lang w:val="es-ES" w:eastAsia="en-US" w:bidi="ar-SA"/>
      </w:rPr>
    </w:lvl>
  </w:abstractNum>
  <w:abstractNum w:abstractNumId="28" w15:restartNumberingAfterBreak="0">
    <w:nsid w:val="114F2BD3"/>
    <w:multiLevelType w:val="hybridMultilevel"/>
    <w:tmpl w:val="EB5813F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15:restartNumberingAfterBreak="0">
    <w:nsid w:val="1176038A"/>
    <w:multiLevelType w:val="multilevel"/>
    <w:tmpl w:val="E1EEF7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3AD7B30"/>
    <w:multiLevelType w:val="hybridMultilevel"/>
    <w:tmpl w:val="2100424C"/>
    <w:lvl w:ilvl="0" w:tplc="14BCB9AC">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143B404D"/>
    <w:multiLevelType w:val="multilevel"/>
    <w:tmpl w:val="B7362170"/>
    <w:lvl w:ilvl="0">
      <w:start w:val="1"/>
      <w:numFmt w:val="lowerLetter"/>
      <w:lvlText w:val="%1."/>
      <w:lvlJc w:val="left"/>
      <w:pPr>
        <w:ind w:left="720" w:hanging="360"/>
      </w:pPr>
      <w:rPr>
        <w:rFonts w:ascii="Calibri" w:hAnsi="Calibri" w:hint="default"/>
        <w:sz w:val="21"/>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44F435D"/>
    <w:multiLevelType w:val="hybridMultilevel"/>
    <w:tmpl w:val="3498F2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145367F5"/>
    <w:multiLevelType w:val="multilevel"/>
    <w:tmpl w:val="EF2C1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45C337C"/>
    <w:multiLevelType w:val="multilevel"/>
    <w:tmpl w:val="913403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4C50E11"/>
    <w:multiLevelType w:val="hybridMultilevel"/>
    <w:tmpl w:val="962A5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71E1867"/>
    <w:multiLevelType w:val="hybridMultilevel"/>
    <w:tmpl w:val="B91CE0AA"/>
    <w:lvl w:ilvl="0" w:tplc="300A000F">
      <w:start w:val="1"/>
      <w:numFmt w:val="decimal"/>
      <w:lvlText w:val="%1."/>
      <w:lvlJc w:val="left"/>
      <w:pPr>
        <w:ind w:left="36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15:restartNumberingAfterBreak="0">
    <w:nsid w:val="17AD7FBC"/>
    <w:multiLevelType w:val="hybridMultilevel"/>
    <w:tmpl w:val="D51C182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83F68A2"/>
    <w:multiLevelType w:val="hybridMultilevel"/>
    <w:tmpl w:val="885E0416"/>
    <w:lvl w:ilvl="0" w:tplc="12BE6EFE">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9" w15:restartNumberingAfterBreak="0">
    <w:nsid w:val="186E7422"/>
    <w:multiLevelType w:val="multilevel"/>
    <w:tmpl w:val="2BFCE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9F04F09"/>
    <w:multiLevelType w:val="multilevel"/>
    <w:tmpl w:val="AEC2B8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C82660C"/>
    <w:multiLevelType w:val="hybridMultilevel"/>
    <w:tmpl w:val="4D900C7C"/>
    <w:lvl w:ilvl="0" w:tplc="398076DE">
      <w:start w:val="3"/>
      <w:numFmt w:val="decimal"/>
      <w:lvlText w:val="%1."/>
      <w:lvlJc w:val="left"/>
      <w:pPr>
        <w:tabs>
          <w:tab w:val="num" w:pos="720"/>
        </w:tabs>
        <w:ind w:left="720" w:hanging="360"/>
      </w:pPr>
    </w:lvl>
    <w:lvl w:ilvl="1" w:tplc="A784EEC6" w:tentative="1">
      <w:start w:val="1"/>
      <w:numFmt w:val="decimal"/>
      <w:lvlText w:val="%2."/>
      <w:lvlJc w:val="left"/>
      <w:pPr>
        <w:tabs>
          <w:tab w:val="num" w:pos="1440"/>
        </w:tabs>
        <w:ind w:left="1440" w:hanging="360"/>
      </w:pPr>
    </w:lvl>
    <w:lvl w:ilvl="2" w:tplc="B2E81A3E" w:tentative="1">
      <w:start w:val="1"/>
      <w:numFmt w:val="decimal"/>
      <w:lvlText w:val="%3."/>
      <w:lvlJc w:val="left"/>
      <w:pPr>
        <w:tabs>
          <w:tab w:val="num" w:pos="2160"/>
        </w:tabs>
        <w:ind w:left="2160" w:hanging="360"/>
      </w:pPr>
    </w:lvl>
    <w:lvl w:ilvl="3" w:tplc="1D827660" w:tentative="1">
      <w:start w:val="1"/>
      <w:numFmt w:val="decimal"/>
      <w:lvlText w:val="%4."/>
      <w:lvlJc w:val="left"/>
      <w:pPr>
        <w:tabs>
          <w:tab w:val="num" w:pos="2880"/>
        </w:tabs>
        <w:ind w:left="2880" w:hanging="360"/>
      </w:pPr>
    </w:lvl>
    <w:lvl w:ilvl="4" w:tplc="E2463CB2" w:tentative="1">
      <w:start w:val="1"/>
      <w:numFmt w:val="decimal"/>
      <w:lvlText w:val="%5."/>
      <w:lvlJc w:val="left"/>
      <w:pPr>
        <w:tabs>
          <w:tab w:val="num" w:pos="3600"/>
        </w:tabs>
        <w:ind w:left="3600" w:hanging="360"/>
      </w:pPr>
    </w:lvl>
    <w:lvl w:ilvl="5" w:tplc="0854D424" w:tentative="1">
      <w:start w:val="1"/>
      <w:numFmt w:val="decimal"/>
      <w:lvlText w:val="%6."/>
      <w:lvlJc w:val="left"/>
      <w:pPr>
        <w:tabs>
          <w:tab w:val="num" w:pos="4320"/>
        </w:tabs>
        <w:ind w:left="4320" w:hanging="360"/>
      </w:pPr>
    </w:lvl>
    <w:lvl w:ilvl="6" w:tplc="196A5B68" w:tentative="1">
      <w:start w:val="1"/>
      <w:numFmt w:val="decimal"/>
      <w:lvlText w:val="%7."/>
      <w:lvlJc w:val="left"/>
      <w:pPr>
        <w:tabs>
          <w:tab w:val="num" w:pos="5040"/>
        </w:tabs>
        <w:ind w:left="5040" w:hanging="360"/>
      </w:pPr>
    </w:lvl>
    <w:lvl w:ilvl="7" w:tplc="20B0403E" w:tentative="1">
      <w:start w:val="1"/>
      <w:numFmt w:val="decimal"/>
      <w:lvlText w:val="%8."/>
      <w:lvlJc w:val="left"/>
      <w:pPr>
        <w:tabs>
          <w:tab w:val="num" w:pos="5760"/>
        </w:tabs>
        <w:ind w:left="5760" w:hanging="360"/>
      </w:pPr>
    </w:lvl>
    <w:lvl w:ilvl="8" w:tplc="EFD08368" w:tentative="1">
      <w:start w:val="1"/>
      <w:numFmt w:val="decimal"/>
      <w:lvlText w:val="%9."/>
      <w:lvlJc w:val="left"/>
      <w:pPr>
        <w:tabs>
          <w:tab w:val="num" w:pos="6480"/>
        </w:tabs>
        <w:ind w:left="6480" w:hanging="360"/>
      </w:pPr>
    </w:lvl>
  </w:abstractNum>
  <w:abstractNum w:abstractNumId="42" w15:restartNumberingAfterBreak="0">
    <w:nsid w:val="1CFA58A2"/>
    <w:multiLevelType w:val="hybridMultilevel"/>
    <w:tmpl w:val="1200E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15:restartNumberingAfterBreak="0">
    <w:nsid w:val="1E166820"/>
    <w:multiLevelType w:val="hybridMultilevel"/>
    <w:tmpl w:val="AF640418"/>
    <w:lvl w:ilvl="0" w:tplc="44D86DB0">
      <w:numFmt w:val="bullet"/>
      <w:lvlText w:val="-"/>
      <w:lvlJc w:val="left"/>
      <w:pPr>
        <w:ind w:left="1415" w:hanging="358"/>
      </w:pPr>
      <w:rPr>
        <w:rFonts w:ascii="Calibri" w:eastAsia="Calibri" w:hAnsi="Calibri" w:cs="Calibri" w:hint="default"/>
        <w:w w:val="97"/>
        <w:sz w:val="20"/>
        <w:szCs w:val="20"/>
        <w:lang w:val="es-ES" w:eastAsia="en-US" w:bidi="ar-SA"/>
      </w:rPr>
    </w:lvl>
    <w:lvl w:ilvl="1" w:tplc="7B607A5A">
      <w:numFmt w:val="bullet"/>
      <w:lvlText w:val="•"/>
      <w:lvlJc w:val="left"/>
      <w:pPr>
        <w:ind w:left="2258" w:hanging="358"/>
      </w:pPr>
      <w:rPr>
        <w:rFonts w:hint="default"/>
        <w:lang w:val="es-ES" w:eastAsia="en-US" w:bidi="ar-SA"/>
      </w:rPr>
    </w:lvl>
    <w:lvl w:ilvl="2" w:tplc="70887EDA">
      <w:numFmt w:val="bullet"/>
      <w:lvlText w:val="•"/>
      <w:lvlJc w:val="left"/>
      <w:pPr>
        <w:ind w:left="3096" w:hanging="358"/>
      </w:pPr>
      <w:rPr>
        <w:rFonts w:hint="default"/>
        <w:lang w:val="es-ES" w:eastAsia="en-US" w:bidi="ar-SA"/>
      </w:rPr>
    </w:lvl>
    <w:lvl w:ilvl="3" w:tplc="08867D90">
      <w:numFmt w:val="bullet"/>
      <w:lvlText w:val="•"/>
      <w:lvlJc w:val="left"/>
      <w:pPr>
        <w:ind w:left="3934" w:hanging="358"/>
      </w:pPr>
      <w:rPr>
        <w:rFonts w:hint="default"/>
        <w:lang w:val="es-ES" w:eastAsia="en-US" w:bidi="ar-SA"/>
      </w:rPr>
    </w:lvl>
    <w:lvl w:ilvl="4" w:tplc="837EEEDE">
      <w:numFmt w:val="bullet"/>
      <w:lvlText w:val="•"/>
      <w:lvlJc w:val="left"/>
      <w:pPr>
        <w:ind w:left="4772" w:hanging="358"/>
      </w:pPr>
      <w:rPr>
        <w:rFonts w:hint="default"/>
        <w:lang w:val="es-ES" w:eastAsia="en-US" w:bidi="ar-SA"/>
      </w:rPr>
    </w:lvl>
    <w:lvl w:ilvl="5" w:tplc="6B343E64">
      <w:numFmt w:val="bullet"/>
      <w:lvlText w:val="•"/>
      <w:lvlJc w:val="left"/>
      <w:pPr>
        <w:ind w:left="5610" w:hanging="358"/>
      </w:pPr>
      <w:rPr>
        <w:rFonts w:hint="default"/>
        <w:lang w:val="es-ES" w:eastAsia="en-US" w:bidi="ar-SA"/>
      </w:rPr>
    </w:lvl>
    <w:lvl w:ilvl="6" w:tplc="FABA549C">
      <w:numFmt w:val="bullet"/>
      <w:lvlText w:val="•"/>
      <w:lvlJc w:val="left"/>
      <w:pPr>
        <w:ind w:left="6448" w:hanging="358"/>
      </w:pPr>
      <w:rPr>
        <w:rFonts w:hint="default"/>
        <w:lang w:val="es-ES" w:eastAsia="en-US" w:bidi="ar-SA"/>
      </w:rPr>
    </w:lvl>
    <w:lvl w:ilvl="7" w:tplc="40707756">
      <w:numFmt w:val="bullet"/>
      <w:lvlText w:val="•"/>
      <w:lvlJc w:val="left"/>
      <w:pPr>
        <w:ind w:left="7286" w:hanging="358"/>
      </w:pPr>
      <w:rPr>
        <w:rFonts w:hint="default"/>
        <w:lang w:val="es-ES" w:eastAsia="en-US" w:bidi="ar-SA"/>
      </w:rPr>
    </w:lvl>
    <w:lvl w:ilvl="8" w:tplc="A6385338">
      <w:numFmt w:val="bullet"/>
      <w:lvlText w:val="•"/>
      <w:lvlJc w:val="left"/>
      <w:pPr>
        <w:ind w:left="8124" w:hanging="358"/>
      </w:pPr>
      <w:rPr>
        <w:rFonts w:hint="default"/>
        <w:lang w:val="es-ES" w:eastAsia="en-US" w:bidi="ar-SA"/>
      </w:rPr>
    </w:lvl>
  </w:abstractNum>
  <w:abstractNum w:abstractNumId="44" w15:restartNumberingAfterBreak="0">
    <w:nsid w:val="1E5153D4"/>
    <w:multiLevelType w:val="hybridMultilevel"/>
    <w:tmpl w:val="8B665346"/>
    <w:lvl w:ilvl="0" w:tplc="FFFFFFFF">
      <w:start w:val="1"/>
      <w:numFmt w:val="bullet"/>
      <w:lvlText w:val=""/>
      <w:lvlJc w:val="left"/>
      <w:pPr>
        <w:ind w:left="720" w:hanging="360"/>
      </w:pPr>
      <w:rPr>
        <w:rFonts w:ascii="Symbol" w:hAnsi="Symbol" w:hint="default"/>
      </w:rPr>
    </w:lvl>
    <w:lvl w:ilvl="1" w:tplc="00000025">
      <w:start w:val="1"/>
      <w:numFmt w:val="bullet"/>
      <w:lvlText w:val=""/>
      <w:lvlJc w:val="left"/>
      <w:pPr>
        <w:ind w:left="1440" w:hanging="360"/>
      </w:pPr>
      <w:rPr>
        <w:rFonts w:ascii="Wingdings" w:hAnsi="Wingdings" w:cs="Wingdings"/>
      </w:rPr>
    </w:lvl>
    <w:lvl w:ilvl="2" w:tplc="27A42740">
      <w:start w:val="2"/>
      <w:numFmt w:val="bullet"/>
      <w:lvlText w:val="-"/>
      <w:lvlJc w:val="left"/>
      <w:pPr>
        <w:ind w:left="2160" w:hanging="360"/>
      </w:pPr>
      <w:rPr>
        <w:rFonts w:ascii="Calibri" w:eastAsia="Times New Roman" w:hAnsi="Calibri" w:cs="Calibri" w:hint="default"/>
        <w:b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1EA26167"/>
    <w:multiLevelType w:val="hybridMultilevel"/>
    <w:tmpl w:val="F558D172"/>
    <w:lvl w:ilvl="0" w:tplc="A1DC0858">
      <w:start w:val="3"/>
      <w:numFmt w:val="decimal"/>
      <w:lvlText w:val="%1."/>
      <w:lvlJc w:val="left"/>
      <w:pPr>
        <w:tabs>
          <w:tab w:val="num" w:pos="720"/>
        </w:tabs>
        <w:ind w:left="720" w:hanging="360"/>
      </w:pPr>
    </w:lvl>
    <w:lvl w:ilvl="1" w:tplc="5CDA91AA" w:tentative="1">
      <w:start w:val="1"/>
      <w:numFmt w:val="decimal"/>
      <w:lvlText w:val="%2."/>
      <w:lvlJc w:val="left"/>
      <w:pPr>
        <w:tabs>
          <w:tab w:val="num" w:pos="1440"/>
        </w:tabs>
        <w:ind w:left="1440" w:hanging="360"/>
      </w:pPr>
    </w:lvl>
    <w:lvl w:ilvl="2" w:tplc="BC1C33A0" w:tentative="1">
      <w:start w:val="1"/>
      <w:numFmt w:val="decimal"/>
      <w:lvlText w:val="%3."/>
      <w:lvlJc w:val="left"/>
      <w:pPr>
        <w:tabs>
          <w:tab w:val="num" w:pos="2160"/>
        </w:tabs>
        <w:ind w:left="2160" w:hanging="360"/>
      </w:pPr>
    </w:lvl>
    <w:lvl w:ilvl="3" w:tplc="FD44D32E" w:tentative="1">
      <w:start w:val="1"/>
      <w:numFmt w:val="decimal"/>
      <w:lvlText w:val="%4."/>
      <w:lvlJc w:val="left"/>
      <w:pPr>
        <w:tabs>
          <w:tab w:val="num" w:pos="2880"/>
        </w:tabs>
        <w:ind w:left="2880" w:hanging="360"/>
      </w:pPr>
    </w:lvl>
    <w:lvl w:ilvl="4" w:tplc="2A1A9B44" w:tentative="1">
      <w:start w:val="1"/>
      <w:numFmt w:val="decimal"/>
      <w:lvlText w:val="%5."/>
      <w:lvlJc w:val="left"/>
      <w:pPr>
        <w:tabs>
          <w:tab w:val="num" w:pos="3600"/>
        </w:tabs>
        <w:ind w:left="3600" w:hanging="360"/>
      </w:pPr>
    </w:lvl>
    <w:lvl w:ilvl="5" w:tplc="FBD6DA86" w:tentative="1">
      <w:start w:val="1"/>
      <w:numFmt w:val="decimal"/>
      <w:lvlText w:val="%6."/>
      <w:lvlJc w:val="left"/>
      <w:pPr>
        <w:tabs>
          <w:tab w:val="num" w:pos="4320"/>
        </w:tabs>
        <w:ind w:left="4320" w:hanging="360"/>
      </w:pPr>
    </w:lvl>
    <w:lvl w:ilvl="6" w:tplc="E062CDB6" w:tentative="1">
      <w:start w:val="1"/>
      <w:numFmt w:val="decimal"/>
      <w:lvlText w:val="%7."/>
      <w:lvlJc w:val="left"/>
      <w:pPr>
        <w:tabs>
          <w:tab w:val="num" w:pos="5040"/>
        </w:tabs>
        <w:ind w:left="5040" w:hanging="360"/>
      </w:pPr>
    </w:lvl>
    <w:lvl w:ilvl="7" w:tplc="5BF644F2" w:tentative="1">
      <w:start w:val="1"/>
      <w:numFmt w:val="decimal"/>
      <w:lvlText w:val="%8."/>
      <w:lvlJc w:val="left"/>
      <w:pPr>
        <w:tabs>
          <w:tab w:val="num" w:pos="5760"/>
        </w:tabs>
        <w:ind w:left="5760" w:hanging="360"/>
      </w:pPr>
    </w:lvl>
    <w:lvl w:ilvl="8" w:tplc="694E3874" w:tentative="1">
      <w:start w:val="1"/>
      <w:numFmt w:val="decimal"/>
      <w:lvlText w:val="%9."/>
      <w:lvlJc w:val="left"/>
      <w:pPr>
        <w:tabs>
          <w:tab w:val="num" w:pos="6480"/>
        </w:tabs>
        <w:ind w:left="6480" w:hanging="360"/>
      </w:pPr>
    </w:lvl>
  </w:abstractNum>
  <w:abstractNum w:abstractNumId="46" w15:restartNumberingAfterBreak="0">
    <w:nsid w:val="1EFD19CD"/>
    <w:multiLevelType w:val="multilevel"/>
    <w:tmpl w:val="23026890"/>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22FE0FE0"/>
    <w:multiLevelType w:val="hybridMultilevel"/>
    <w:tmpl w:val="7EFC03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15:restartNumberingAfterBreak="0">
    <w:nsid w:val="237207BC"/>
    <w:multiLevelType w:val="multilevel"/>
    <w:tmpl w:val="CB286A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60B3286"/>
    <w:multiLevelType w:val="multilevel"/>
    <w:tmpl w:val="C330ACC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69D13FC"/>
    <w:multiLevelType w:val="hybridMultilevel"/>
    <w:tmpl w:val="4198C9D8"/>
    <w:lvl w:ilvl="0" w:tplc="300A0001">
      <w:start w:val="1"/>
      <w:numFmt w:val="bullet"/>
      <w:lvlText w:val=""/>
      <w:lvlJc w:val="left"/>
      <w:pPr>
        <w:ind w:left="795" w:hanging="360"/>
      </w:pPr>
      <w:rPr>
        <w:rFonts w:ascii="Symbol" w:hAnsi="Symbol" w:hint="default"/>
      </w:rPr>
    </w:lvl>
    <w:lvl w:ilvl="1" w:tplc="FFFFFFFF" w:tentative="1">
      <w:start w:val="1"/>
      <w:numFmt w:val="bullet"/>
      <w:lvlText w:val="o"/>
      <w:lvlJc w:val="left"/>
      <w:pPr>
        <w:ind w:left="1515" w:hanging="360"/>
      </w:pPr>
      <w:rPr>
        <w:rFonts w:ascii="Courier New" w:hAnsi="Courier New" w:cs="Courier New" w:hint="default"/>
      </w:rPr>
    </w:lvl>
    <w:lvl w:ilvl="2" w:tplc="FFFFFFFF" w:tentative="1">
      <w:start w:val="1"/>
      <w:numFmt w:val="bullet"/>
      <w:lvlText w:val=""/>
      <w:lvlJc w:val="left"/>
      <w:pPr>
        <w:ind w:left="2235" w:hanging="360"/>
      </w:pPr>
      <w:rPr>
        <w:rFonts w:ascii="Wingdings" w:hAnsi="Wingdings" w:hint="default"/>
      </w:rPr>
    </w:lvl>
    <w:lvl w:ilvl="3" w:tplc="FFFFFFFF" w:tentative="1">
      <w:start w:val="1"/>
      <w:numFmt w:val="bullet"/>
      <w:lvlText w:val=""/>
      <w:lvlJc w:val="left"/>
      <w:pPr>
        <w:ind w:left="2955" w:hanging="360"/>
      </w:pPr>
      <w:rPr>
        <w:rFonts w:ascii="Symbol" w:hAnsi="Symbol" w:hint="default"/>
      </w:rPr>
    </w:lvl>
    <w:lvl w:ilvl="4" w:tplc="FFFFFFFF" w:tentative="1">
      <w:start w:val="1"/>
      <w:numFmt w:val="bullet"/>
      <w:lvlText w:val="o"/>
      <w:lvlJc w:val="left"/>
      <w:pPr>
        <w:ind w:left="3675" w:hanging="360"/>
      </w:pPr>
      <w:rPr>
        <w:rFonts w:ascii="Courier New" w:hAnsi="Courier New" w:cs="Courier New" w:hint="default"/>
      </w:rPr>
    </w:lvl>
    <w:lvl w:ilvl="5" w:tplc="FFFFFFFF" w:tentative="1">
      <w:start w:val="1"/>
      <w:numFmt w:val="bullet"/>
      <w:lvlText w:val=""/>
      <w:lvlJc w:val="left"/>
      <w:pPr>
        <w:ind w:left="4395" w:hanging="360"/>
      </w:pPr>
      <w:rPr>
        <w:rFonts w:ascii="Wingdings" w:hAnsi="Wingdings" w:hint="default"/>
      </w:rPr>
    </w:lvl>
    <w:lvl w:ilvl="6" w:tplc="FFFFFFFF" w:tentative="1">
      <w:start w:val="1"/>
      <w:numFmt w:val="bullet"/>
      <w:lvlText w:val=""/>
      <w:lvlJc w:val="left"/>
      <w:pPr>
        <w:ind w:left="5115" w:hanging="360"/>
      </w:pPr>
      <w:rPr>
        <w:rFonts w:ascii="Symbol" w:hAnsi="Symbol" w:hint="default"/>
      </w:rPr>
    </w:lvl>
    <w:lvl w:ilvl="7" w:tplc="FFFFFFFF" w:tentative="1">
      <w:start w:val="1"/>
      <w:numFmt w:val="bullet"/>
      <w:lvlText w:val="o"/>
      <w:lvlJc w:val="left"/>
      <w:pPr>
        <w:ind w:left="5835" w:hanging="360"/>
      </w:pPr>
      <w:rPr>
        <w:rFonts w:ascii="Courier New" w:hAnsi="Courier New" w:cs="Courier New" w:hint="default"/>
      </w:rPr>
    </w:lvl>
    <w:lvl w:ilvl="8" w:tplc="FFFFFFFF" w:tentative="1">
      <w:start w:val="1"/>
      <w:numFmt w:val="bullet"/>
      <w:lvlText w:val=""/>
      <w:lvlJc w:val="left"/>
      <w:pPr>
        <w:ind w:left="6555" w:hanging="360"/>
      </w:pPr>
      <w:rPr>
        <w:rFonts w:ascii="Wingdings" w:hAnsi="Wingdings" w:hint="default"/>
      </w:rPr>
    </w:lvl>
  </w:abstractNum>
  <w:abstractNum w:abstractNumId="51" w15:restartNumberingAfterBreak="0">
    <w:nsid w:val="27DA1409"/>
    <w:multiLevelType w:val="hybridMultilevel"/>
    <w:tmpl w:val="C142813E"/>
    <w:lvl w:ilvl="0" w:tplc="300A0001">
      <w:start w:val="1"/>
      <w:numFmt w:val="bullet"/>
      <w:lvlText w:val=""/>
      <w:lvlJc w:val="left"/>
      <w:pPr>
        <w:ind w:left="938" w:hanging="360"/>
      </w:pPr>
      <w:rPr>
        <w:rFonts w:ascii="Symbol" w:hAnsi="Symbol" w:hint="default"/>
      </w:rPr>
    </w:lvl>
    <w:lvl w:ilvl="1" w:tplc="300A0003" w:tentative="1">
      <w:start w:val="1"/>
      <w:numFmt w:val="bullet"/>
      <w:lvlText w:val="o"/>
      <w:lvlJc w:val="left"/>
      <w:pPr>
        <w:ind w:left="1658" w:hanging="360"/>
      </w:pPr>
      <w:rPr>
        <w:rFonts w:ascii="Courier New" w:hAnsi="Courier New" w:cs="Courier New" w:hint="default"/>
      </w:rPr>
    </w:lvl>
    <w:lvl w:ilvl="2" w:tplc="300A0005" w:tentative="1">
      <w:start w:val="1"/>
      <w:numFmt w:val="bullet"/>
      <w:lvlText w:val=""/>
      <w:lvlJc w:val="left"/>
      <w:pPr>
        <w:ind w:left="2378" w:hanging="360"/>
      </w:pPr>
      <w:rPr>
        <w:rFonts w:ascii="Wingdings" w:hAnsi="Wingdings" w:hint="default"/>
      </w:rPr>
    </w:lvl>
    <w:lvl w:ilvl="3" w:tplc="300A0001" w:tentative="1">
      <w:start w:val="1"/>
      <w:numFmt w:val="bullet"/>
      <w:lvlText w:val=""/>
      <w:lvlJc w:val="left"/>
      <w:pPr>
        <w:ind w:left="3098" w:hanging="360"/>
      </w:pPr>
      <w:rPr>
        <w:rFonts w:ascii="Symbol" w:hAnsi="Symbol" w:hint="default"/>
      </w:rPr>
    </w:lvl>
    <w:lvl w:ilvl="4" w:tplc="300A0003" w:tentative="1">
      <w:start w:val="1"/>
      <w:numFmt w:val="bullet"/>
      <w:lvlText w:val="o"/>
      <w:lvlJc w:val="left"/>
      <w:pPr>
        <w:ind w:left="3818" w:hanging="360"/>
      </w:pPr>
      <w:rPr>
        <w:rFonts w:ascii="Courier New" w:hAnsi="Courier New" w:cs="Courier New" w:hint="default"/>
      </w:rPr>
    </w:lvl>
    <w:lvl w:ilvl="5" w:tplc="300A0005" w:tentative="1">
      <w:start w:val="1"/>
      <w:numFmt w:val="bullet"/>
      <w:lvlText w:val=""/>
      <w:lvlJc w:val="left"/>
      <w:pPr>
        <w:ind w:left="4538" w:hanging="360"/>
      </w:pPr>
      <w:rPr>
        <w:rFonts w:ascii="Wingdings" w:hAnsi="Wingdings" w:hint="default"/>
      </w:rPr>
    </w:lvl>
    <w:lvl w:ilvl="6" w:tplc="300A0001" w:tentative="1">
      <w:start w:val="1"/>
      <w:numFmt w:val="bullet"/>
      <w:lvlText w:val=""/>
      <w:lvlJc w:val="left"/>
      <w:pPr>
        <w:ind w:left="5258" w:hanging="360"/>
      </w:pPr>
      <w:rPr>
        <w:rFonts w:ascii="Symbol" w:hAnsi="Symbol" w:hint="default"/>
      </w:rPr>
    </w:lvl>
    <w:lvl w:ilvl="7" w:tplc="300A0003" w:tentative="1">
      <w:start w:val="1"/>
      <w:numFmt w:val="bullet"/>
      <w:lvlText w:val="o"/>
      <w:lvlJc w:val="left"/>
      <w:pPr>
        <w:ind w:left="5978" w:hanging="360"/>
      </w:pPr>
      <w:rPr>
        <w:rFonts w:ascii="Courier New" w:hAnsi="Courier New" w:cs="Courier New" w:hint="default"/>
      </w:rPr>
    </w:lvl>
    <w:lvl w:ilvl="8" w:tplc="300A0005" w:tentative="1">
      <w:start w:val="1"/>
      <w:numFmt w:val="bullet"/>
      <w:lvlText w:val=""/>
      <w:lvlJc w:val="left"/>
      <w:pPr>
        <w:ind w:left="6698" w:hanging="360"/>
      </w:pPr>
      <w:rPr>
        <w:rFonts w:ascii="Wingdings" w:hAnsi="Wingdings" w:hint="default"/>
      </w:rPr>
    </w:lvl>
  </w:abstractNum>
  <w:abstractNum w:abstractNumId="52" w15:restartNumberingAfterBreak="0">
    <w:nsid w:val="28A16BE0"/>
    <w:multiLevelType w:val="multilevel"/>
    <w:tmpl w:val="9B98BF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28CC6749"/>
    <w:multiLevelType w:val="hybridMultilevel"/>
    <w:tmpl w:val="73B2F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9A96DC5"/>
    <w:multiLevelType w:val="hybridMultilevel"/>
    <w:tmpl w:val="E0745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9D17AC6"/>
    <w:multiLevelType w:val="hybridMultilevel"/>
    <w:tmpl w:val="A274CB64"/>
    <w:lvl w:ilvl="0" w:tplc="64963982">
      <w:start w:val="1"/>
      <w:numFmt w:val="decimal"/>
      <w:lvlText w:val="%1."/>
      <w:lvlJc w:val="left"/>
      <w:pPr>
        <w:tabs>
          <w:tab w:val="num" w:pos="720"/>
        </w:tabs>
        <w:ind w:left="720" w:hanging="360"/>
      </w:pPr>
    </w:lvl>
    <w:lvl w:ilvl="1" w:tplc="A992B09A" w:tentative="1">
      <w:start w:val="1"/>
      <w:numFmt w:val="decimal"/>
      <w:lvlText w:val="%2."/>
      <w:lvlJc w:val="left"/>
      <w:pPr>
        <w:tabs>
          <w:tab w:val="num" w:pos="1440"/>
        </w:tabs>
        <w:ind w:left="1440" w:hanging="360"/>
      </w:pPr>
    </w:lvl>
    <w:lvl w:ilvl="2" w:tplc="937ECED2" w:tentative="1">
      <w:start w:val="1"/>
      <w:numFmt w:val="decimal"/>
      <w:lvlText w:val="%3."/>
      <w:lvlJc w:val="left"/>
      <w:pPr>
        <w:tabs>
          <w:tab w:val="num" w:pos="2160"/>
        </w:tabs>
        <w:ind w:left="2160" w:hanging="360"/>
      </w:pPr>
    </w:lvl>
    <w:lvl w:ilvl="3" w:tplc="D29060B0" w:tentative="1">
      <w:start w:val="1"/>
      <w:numFmt w:val="decimal"/>
      <w:lvlText w:val="%4."/>
      <w:lvlJc w:val="left"/>
      <w:pPr>
        <w:tabs>
          <w:tab w:val="num" w:pos="2880"/>
        </w:tabs>
        <w:ind w:left="2880" w:hanging="360"/>
      </w:pPr>
    </w:lvl>
    <w:lvl w:ilvl="4" w:tplc="998C0CAC" w:tentative="1">
      <w:start w:val="1"/>
      <w:numFmt w:val="decimal"/>
      <w:lvlText w:val="%5."/>
      <w:lvlJc w:val="left"/>
      <w:pPr>
        <w:tabs>
          <w:tab w:val="num" w:pos="3600"/>
        </w:tabs>
        <w:ind w:left="3600" w:hanging="360"/>
      </w:pPr>
    </w:lvl>
    <w:lvl w:ilvl="5" w:tplc="A52E3E26" w:tentative="1">
      <w:start w:val="1"/>
      <w:numFmt w:val="decimal"/>
      <w:lvlText w:val="%6."/>
      <w:lvlJc w:val="left"/>
      <w:pPr>
        <w:tabs>
          <w:tab w:val="num" w:pos="4320"/>
        </w:tabs>
        <w:ind w:left="4320" w:hanging="360"/>
      </w:pPr>
    </w:lvl>
    <w:lvl w:ilvl="6" w:tplc="C9C2BD7A" w:tentative="1">
      <w:start w:val="1"/>
      <w:numFmt w:val="decimal"/>
      <w:lvlText w:val="%7."/>
      <w:lvlJc w:val="left"/>
      <w:pPr>
        <w:tabs>
          <w:tab w:val="num" w:pos="5040"/>
        </w:tabs>
        <w:ind w:left="5040" w:hanging="360"/>
      </w:pPr>
    </w:lvl>
    <w:lvl w:ilvl="7" w:tplc="A9583EDA" w:tentative="1">
      <w:start w:val="1"/>
      <w:numFmt w:val="decimal"/>
      <w:lvlText w:val="%8."/>
      <w:lvlJc w:val="left"/>
      <w:pPr>
        <w:tabs>
          <w:tab w:val="num" w:pos="5760"/>
        </w:tabs>
        <w:ind w:left="5760" w:hanging="360"/>
      </w:pPr>
    </w:lvl>
    <w:lvl w:ilvl="8" w:tplc="93E096C2" w:tentative="1">
      <w:start w:val="1"/>
      <w:numFmt w:val="decimal"/>
      <w:lvlText w:val="%9."/>
      <w:lvlJc w:val="left"/>
      <w:pPr>
        <w:tabs>
          <w:tab w:val="num" w:pos="6480"/>
        </w:tabs>
        <w:ind w:left="6480" w:hanging="360"/>
      </w:pPr>
    </w:lvl>
  </w:abstractNum>
  <w:abstractNum w:abstractNumId="56" w15:restartNumberingAfterBreak="0">
    <w:nsid w:val="29F01643"/>
    <w:multiLevelType w:val="hybridMultilevel"/>
    <w:tmpl w:val="6002B490"/>
    <w:lvl w:ilvl="0" w:tplc="1DD87064">
      <w:start w:val="1"/>
      <w:numFmt w:val="lowerLetter"/>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54049D"/>
    <w:multiLevelType w:val="hybridMultilevel"/>
    <w:tmpl w:val="44782412"/>
    <w:lvl w:ilvl="0" w:tplc="F07C7F68">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8" w15:restartNumberingAfterBreak="0">
    <w:nsid w:val="2B3144C6"/>
    <w:multiLevelType w:val="hybridMultilevel"/>
    <w:tmpl w:val="98E8AAAA"/>
    <w:lvl w:ilvl="0" w:tplc="CF045B86">
      <w:start w:val="1"/>
      <w:numFmt w:val="bullet"/>
      <w:lvlText w:val=""/>
      <w:lvlJc w:val="left"/>
      <w:pPr>
        <w:ind w:left="720" w:hanging="360"/>
      </w:pPr>
      <w:rPr>
        <w:rFonts w:ascii="Symbol" w:hAnsi="Symbol"/>
      </w:rPr>
    </w:lvl>
    <w:lvl w:ilvl="1" w:tplc="B1D8549C">
      <w:start w:val="1"/>
      <w:numFmt w:val="bullet"/>
      <w:lvlText w:val=""/>
      <w:lvlJc w:val="left"/>
      <w:pPr>
        <w:ind w:left="720" w:hanging="360"/>
      </w:pPr>
      <w:rPr>
        <w:rFonts w:ascii="Symbol" w:hAnsi="Symbol"/>
      </w:rPr>
    </w:lvl>
    <w:lvl w:ilvl="2" w:tplc="39F01DC0">
      <w:start w:val="1"/>
      <w:numFmt w:val="bullet"/>
      <w:lvlText w:val=""/>
      <w:lvlJc w:val="left"/>
      <w:pPr>
        <w:ind w:left="720" w:hanging="360"/>
      </w:pPr>
      <w:rPr>
        <w:rFonts w:ascii="Symbol" w:hAnsi="Symbol"/>
      </w:rPr>
    </w:lvl>
    <w:lvl w:ilvl="3" w:tplc="9778646E">
      <w:start w:val="1"/>
      <w:numFmt w:val="bullet"/>
      <w:lvlText w:val=""/>
      <w:lvlJc w:val="left"/>
      <w:pPr>
        <w:ind w:left="720" w:hanging="360"/>
      </w:pPr>
      <w:rPr>
        <w:rFonts w:ascii="Symbol" w:hAnsi="Symbol"/>
      </w:rPr>
    </w:lvl>
    <w:lvl w:ilvl="4" w:tplc="3D182D54">
      <w:start w:val="1"/>
      <w:numFmt w:val="bullet"/>
      <w:lvlText w:val=""/>
      <w:lvlJc w:val="left"/>
      <w:pPr>
        <w:ind w:left="720" w:hanging="360"/>
      </w:pPr>
      <w:rPr>
        <w:rFonts w:ascii="Symbol" w:hAnsi="Symbol"/>
      </w:rPr>
    </w:lvl>
    <w:lvl w:ilvl="5" w:tplc="423EAAB8">
      <w:start w:val="1"/>
      <w:numFmt w:val="bullet"/>
      <w:lvlText w:val=""/>
      <w:lvlJc w:val="left"/>
      <w:pPr>
        <w:ind w:left="720" w:hanging="360"/>
      </w:pPr>
      <w:rPr>
        <w:rFonts w:ascii="Symbol" w:hAnsi="Symbol"/>
      </w:rPr>
    </w:lvl>
    <w:lvl w:ilvl="6" w:tplc="E006DA00">
      <w:start w:val="1"/>
      <w:numFmt w:val="bullet"/>
      <w:lvlText w:val=""/>
      <w:lvlJc w:val="left"/>
      <w:pPr>
        <w:ind w:left="720" w:hanging="360"/>
      </w:pPr>
      <w:rPr>
        <w:rFonts w:ascii="Symbol" w:hAnsi="Symbol"/>
      </w:rPr>
    </w:lvl>
    <w:lvl w:ilvl="7" w:tplc="F176BD66">
      <w:start w:val="1"/>
      <w:numFmt w:val="bullet"/>
      <w:lvlText w:val=""/>
      <w:lvlJc w:val="left"/>
      <w:pPr>
        <w:ind w:left="720" w:hanging="360"/>
      </w:pPr>
      <w:rPr>
        <w:rFonts w:ascii="Symbol" w:hAnsi="Symbol"/>
      </w:rPr>
    </w:lvl>
    <w:lvl w:ilvl="8" w:tplc="98AA3C0C">
      <w:start w:val="1"/>
      <w:numFmt w:val="bullet"/>
      <w:lvlText w:val=""/>
      <w:lvlJc w:val="left"/>
      <w:pPr>
        <w:ind w:left="720" w:hanging="360"/>
      </w:pPr>
      <w:rPr>
        <w:rFonts w:ascii="Symbol" w:hAnsi="Symbol"/>
      </w:rPr>
    </w:lvl>
  </w:abstractNum>
  <w:abstractNum w:abstractNumId="59" w15:restartNumberingAfterBreak="0">
    <w:nsid w:val="2D541DFE"/>
    <w:multiLevelType w:val="hybridMultilevel"/>
    <w:tmpl w:val="83F26186"/>
    <w:lvl w:ilvl="0" w:tplc="9FF28DAC">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0" w15:restartNumberingAfterBreak="0">
    <w:nsid w:val="2DAB4384"/>
    <w:multiLevelType w:val="multilevel"/>
    <w:tmpl w:val="E89A1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DC64AD9"/>
    <w:multiLevelType w:val="multilevel"/>
    <w:tmpl w:val="77602F3A"/>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2" w15:restartNumberingAfterBreak="0">
    <w:nsid w:val="2DDA3AAD"/>
    <w:multiLevelType w:val="multilevel"/>
    <w:tmpl w:val="64020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E302E17"/>
    <w:multiLevelType w:val="multilevel"/>
    <w:tmpl w:val="9E8291E0"/>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E437AC3"/>
    <w:multiLevelType w:val="multilevel"/>
    <w:tmpl w:val="B2A84CD2"/>
    <w:lvl w:ilvl="0">
      <w:start w:val="1"/>
      <w:numFmt w:val="decimal"/>
      <w:lvlText w:val="%1."/>
      <w:lvlJc w:val="left"/>
      <w:pPr>
        <w:ind w:left="578" w:hanging="363"/>
      </w:pPr>
      <w:rPr>
        <w:rFonts w:ascii="Arial" w:eastAsia="Arial" w:hAnsi="Arial" w:cs="Arial" w:hint="default"/>
        <w:b/>
        <w:bCs/>
        <w:color w:val="000009"/>
        <w:w w:val="97"/>
        <w:sz w:val="20"/>
        <w:szCs w:val="20"/>
        <w:lang w:val="es-ES" w:eastAsia="en-US" w:bidi="ar-SA"/>
      </w:rPr>
    </w:lvl>
    <w:lvl w:ilvl="1">
      <w:start w:val="1"/>
      <w:numFmt w:val="decimal"/>
      <w:lvlText w:val="%1.%2."/>
      <w:lvlJc w:val="left"/>
      <w:pPr>
        <w:ind w:left="1010" w:hanging="432"/>
      </w:pPr>
      <w:rPr>
        <w:rFonts w:ascii="Arial" w:eastAsia="Arial" w:hAnsi="Arial" w:cs="Arial" w:hint="default"/>
        <w:b/>
        <w:bCs/>
        <w:color w:val="000009"/>
        <w:spacing w:val="-2"/>
        <w:w w:val="97"/>
        <w:sz w:val="20"/>
        <w:szCs w:val="20"/>
        <w:lang w:val="es-ES" w:eastAsia="en-US" w:bidi="ar-SA"/>
      </w:rPr>
    </w:lvl>
    <w:lvl w:ilvl="2">
      <w:start w:val="1"/>
      <w:numFmt w:val="decimal"/>
      <w:lvlText w:val="%1.%2.%3."/>
      <w:lvlJc w:val="left"/>
      <w:pPr>
        <w:ind w:left="1442" w:hanging="504"/>
      </w:pPr>
      <w:rPr>
        <w:rFonts w:ascii="Arial" w:eastAsia="Arial" w:hAnsi="Arial" w:cs="Arial" w:hint="default"/>
        <w:b/>
        <w:bCs/>
        <w:color w:val="000009"/>
        <w:spacing w:val="-1"/>
        <w:w w:val="97"/>
        <w:sz w:val="18"/>
        <w:szCs w:val="18"/>
        <w:lang w:val="es-ES" w:eastAsia="en-US" w:bidi="ar-SA"/>
      </w:rPr>
    </w:lvl>
    <w:lvl w:ilvl="3">
      <w:numFmt w:val="bullet"/>
      <w:lvlText w:val="•"/>
      <w:lvlJc w:val="left"/>
      <w:pPr>
        <w:ind w:left="1440" w:hanging="504"/>
      </w:pPr>
      <w:rPr>
        <w:rFonts w:hint="default"/>
        <w:lang w:val="es-ES" w:eastAsia="en-US" w:bidi="ar-SA"/>
      </w:rPr>
    </w:lvl>
    <w:lvl w:ilvl="4">
      <w:numFmt w:val="bullet"/>
      <w:lvlText w:val="•"/>
      <w:lvlJc w:val="left"/>
      <w:pPr>
        <w:ind w:left="2634" w:hanging="504"/>
      </w:pPr>
      <w:rPr>
        <w:rFonts w:hint="default"/>
        <w:lang w:val="es-ES" w:eastAsia="en-US" w:bidi="ar-SA"/>
      </w:rPr>
    </w:lvl>
    <w:lvl w:ilvl="5">
      <w:numFmt w:val="bullet"/>
      <w:lvlText w:val="•"/>
      <w:lvlJc w:val="left"/>
      <w:pPr>
        <w:ind w:left="3828" w:hanging="504"/>
      </w:pPr>
      <w:rPr>
        <w:rFonts w:hint="default"/>
        <w:lang w:val="es-ES" w:eastAsia="en-US" w:bidi="ar-SA"/>
      </w:rPr>
    </w:lvl>
    <w:lvl w:ilvl="6">
      <w:numFmt w:val="bullet"/>
      <w:lvlText w:val="•"/>
      <w:lvlJc w:val="left"/>
      <w:pPr>
        <w:ind w:left="5023" w:hanging="504"/>
      </w:pPr>
      <w:rPr>
        <w:rFonts w:hint="default"/>
        <w:lang w:val="es-ES" w:eastAsia="en-US" w:bidi="ar-SA"/>
      </w:rPr>
    </w:lvl>
    <w:lvl w:ilvl="7">
      <w:numFmt w:val="bullet"/>
      <w:lvlText w:val="•"/>
      <w:lvlJc w:val="left"/>
      <w:pPr>
        <w:ind w:left="6217" w:hanging="504"/>
      </w:pPr>
      <w:rPr>
        <w:rFonts w:hint="default"/>
        <w:lang w:val="es-ES" w:eastAsia="en-US" w:bidi="ar-SA"/>
      </w:rPr>
    </w:lvl>
    <w:lvl w:ilvl="8">
      <w:numFmt w:val="bullet"/>
      <w:lvlText w:val="•"/>
      <w:lvlJc w:val="left"/>
      <w:pPr>
        <w:ind w:left="7412" w:hanging="504"/>
      </w:pPr>
      <w:rPr>
        <w:rFonts w:hint="default"/>
        <w:lang w:val="es-ES" w:eastAsia="en-US" w:bidi="ar-SA"/>
      </w:rPr>
    </w:lvl>
  </w:abstractNum>
  <w:abstractNum w:abstractNumId="65" w15:restartNumberingAfterBreak="0">
    <w:nsid w:val="2E4F3CEC"/>
    <w:multiLevelType w:val="hybridMultilevel"/>
    <w:tmpl w:val="D764B46C"/>
    <w:lvl w:ilvl="0" w:tplc="300A0017">
      <w:start w:val="1"/>
      <w:numFmt w:val="lowerLetter"/>
      <w:lvlText w:val="%1)"/>
      <w:lvlJc w:val="left"/>
      <w:pPr>
        <w:ind w:left="1080" w:hanging="360"/>
      </w:pPr>
    </w:lvl>
    <w:lvl w:ilvl="1" w:tplc="300A0019">
      <w:start w:val="1"/>
      <w:numFmt w:val="lowerLetter"/>
      <w:lvlText w:val="%2."/>
      <w:lvlJc w:val="left"/>
      <w:pPr>
        <w:ind w:left="1800" w:hanging="360"/>
      </w:pPr>
    </w:lvl>
    <w:lvl w:ilvl="2" w:tplc="300A001B">
      <w:start w:val="1"/>
      <w:numFmt w:val="lowerRoman"/>
      <w:lvlText w:val="%3."/>
      <w:lvlJc w:val="right"/>
      <w:pPr>
        <w:ind w:left="2520" w:hanging="180"/>
      </w:pPr>
    </w:lvl>
    <w:lvl w:ilvl="3" w:tplc="300A000F">
      <w:start w:val="1"/>
      <w:numFmt w:val="decimal"/>
      <w:lvlText w:val="%4."/>
      <w:lvlJc w:val="left"/>
      <w:pPr>
        <w:ind w:left="3240" w:hanging="360"/>
      </w:pPr>
    </w:lvl>
    <w:lvl w:ilvl="4" w:tplc="300A0019">
      <w:start w:val="1"/>
      <w:numFmt w:val="lowerLetter"/>
      <w:lvlText w:val="%5."/>
      <w:lvlJc w:val="left"/>
      <w:pPr>
        <w:ind w:left="3960" w:hanging="360"/>
      </w:pPr>
    </w:lvl>
    <w:lvl w:ilvl="5" w:tplc="300A001B">
      <w:start w:val="1"/>
      <w:numFmt w:val="lowerRoman"/>
      <w:lvlText w:val="%6."/>
      <w:lvlJc w:val="right"/>
      <w:pPr>
        <w:ind w:left="4680" w:hanging="180"/>
      </w:pPr>
    </w:lvl>
    <w:lvl w:ilvl="6" w:tplc="300A000F">
      <w:start w:val="1"/>
      <w:numFmt w:val="decimal"/>
      <w:lvlText w:val="%7."/>
      <w:lvlJc w:val="left"/>
      <w:pPr>
        <w:ind w:left="5400" w:hanging="360"/>
      </w:pPr>
    </w:lvl>
    <w:lvl w:ilvl="7" w:tplc="300A0019">
      <w:start w:val="1"/>
      <w:numFmt w:val="lowerLetter"/>
      <w:lvlText w:val="%8."/>
      <w:lvlJc w:val="left"/>
      <w:pPr>
        <w:ind w:left="6120" w:hanging="360"/>
      </w:pPr>
    </w:lvl>
    <w:lvl w:ilvl="8" w:tplc="300A001B">
      <w:start w:val="1"/>
      <w:numFmt w:val="lowerRoman"/>
      <w:lvlText w:val="%9."/>
      <w:lvlJc w:val="right"/>
      <w:pPr>
        <w:ind w:left="6840" w:hanging="180"/>
      </w:pPr>
    </w:lvl>
  </w:abstractNum>
  <w:abstractNum w:abstractNumId="66" w15:restartNumberingAfterBreak="0">
    <w:nsid w:val="2E6D548C"/>
    <w:multiLevelType w:val="hybridMultilevel"/>
    <w:tmpl w:val="4D02D318"/>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67" w15:restartNumberingAfterBreak="0">
    <w:nsid w:val="2F022895"/>
    <w:multiLevelType w:val="multilevel"/>
    <w:tmpl w:val="34AAE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FFE4CF9"/>
    <w:multiLevelType w:val="hybridMultilevel"/>
    <w:tmpl w:val="766227D2"/>
    <w:lvl w:ilvl="0" w:tplc="0A3CD914">
      <w:start w:val="1"/>
      <w:numFmt w:val="lowerLetter"/>
      <w:lvlText w:val="%1."/>
      <w:lvlJc w:val="left"/>
      <w:pPr>
        <w:ind w:left="720" w:hanging="360"/>
      </w:pPr>
      <w:rPr>
        <w:rFonts w:ascii="Calibri" w:hAnsi="Calibri" w:hint="default"/>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0491F43"/>
    <w:multiLevelType w:val="hybridMultilevel"/>
    <w:tmpl w:val="264CAC5C"/>
    <w:lvl w:ilvl="0" w:tplc="300A0001">
      <w:start w:val="1"/>
      <w:numFmt w:val="bullet"/>
      <w:lvlText w:val=""/>
      <w:lvlJc w:val="left"/>
      <w:pPr>
        <w:ind w:left="1440" w:hanging="360"/>
      </w:pPr>
      <w:rPr>
        <w:rFonts w:ascii="Symbol" w:hAnsi="Symbol" w:hint="default"/>
      </w:rPr>
    </w:lvl>
    <w:lvl w:ilvl="1" w:tplc="300A0003">
      <w:start w:val="1"/>
      <w:numFmt w:val="bullet"/>
      <w:lvlText w:val="o"/>
      <w:lvlJc w:val="left"/>
      <w:pPr>
        <w:ind w:left="2160" w:hanging="360"/>
      </w:pPr>
      <w:rPr>
        <w:rFonts w:ascii="Courier New" w:hAnsi="Courier New" w:cs="Courier New" w:hint="default"/>
      </w:rPr>
    </w:lvl>
    <w:lvl w:ilvl="2" w:tplc="300A0005">
      <w:start w:val="1"/>
      <w:numFmt w:val="bullet"/>
      <w:lvlText w:val=""/>
      <w:lvlJc w:val="left"/>
      <w:pPr>
        <w:ind w:left="2880" w:hanging="360"/>
      </w:pPr>
      <w:rPr>
        <w:rFonts w:ascii="Wingdings" w:hAnsi="Wingdings" w:hint="default"/>
      </w:rPr>
    </w:lvl>
    <w:lvl w:ilvl="3" w:tplc="300A0001">
      <w:start w:val="1"/>
      <w:numFmt w:val="bullet"/>
      <w:lvlText w:val=""/>
      <w:lvlJc w:val="left"/>
      <w:pPr>
        <w:ind w:left="3600" w:hanging="360"/>
      </w:pPr>
      <w:rPr>
        <w:rFonts w:ascii="Symbol" w:hAnsi="Symbol" w:hint="default"/>
      </w:rPr>
    </w:lvl>
    <w:lvl w:ilvl="4" w:tplc="300A0003">
      <w:start w:val="1"/>
      <w:numFmt w:val="bullet"/>
      <w:lvlText w:val="o"/>
      <w:lvlJc w:val="left"/>
      <w:pPr>
        <w:ind w:left="4320" w:hanging="360"/>
      </w:pPr>
      <w:rPr>
        <w:rFonts w:ascii="Courier New" w:hAnsi="Courier New" w:cs="Courier New" w:hint="default"/>
      </w:rPr>
    </w:lvl>
    <w:lvl w:ilvl="5" w:tplc="300A0005">
      <w:start w:val="1"/>
      <w:numFmt w:val="bullet"/>
      <w:lvlText w:val=""/>
      <w:lvlJc w:val="left"/>
      <w:pPr>
        <w:ind w:left="5040" w:hanging="360"/>
      </w:pPr>
      <w:rPr>
        <w:rFonts w:ascii="Wingdings" w:hAnsi="Wingdings" w:hint="default"/>
      </w:rPr>
    </w:lvl>
    <w:lvl w:ilvl="6" w:tplc="300A0001">
      <w:start w:val="1"/>
      <w:numFmt w:val="bullet"/>
      <w:lvlText w:val=""/>
      <w:lvlJc w:val="left"/>
      <w:pPr>
        <w:ind w:left="5760" w:hanging="360"/>
      </w:pPr>
      <w:rPr>
        <w:rFonts w:ascii="Symbol" w:hAnsi="Symbol" w:hint="default"/>
      </w:rPr>
    </w:lvl>
    <w:lvl w:ilvl="7" w:tplc="300A0003">
      <w:start w:val="1"/>
      <w:numFmt w:val="bullet"/>
      <w:lvlText w:val="o"/>
      <w:lvlJc w:val="left"/>
      <w:pPr>
        <w:ind w:left="6480" w:hanging="360"/>
      </w:pPr>
      <w:rPr>
        <w:rFonts w:ascii="Courier New" w:hAnsi="Courier New" w:cs="Courier New" w:hint="default"/>
      </w:rPr>
    </w:lvl>
    <w:lvl w:ilvl="8" w:tplc="300A0005">
      <w:start w:val="1"/>
      <w:numFmt w:val="bullet"/>
      <w:lvlText w:val=""/>
      <w:lvlJc w:val="left"/>
      <w:pPr>
        <w:ind w:left="7200" w:hanging="360"/>
      </w:pPr>
      <w:rPr>
        <w:rFonts w:ascii="Wingdings" w:hAnsi="Wingdings" w:hint="default"/>
      </w:rPr>
    </w:lvl>
  </w:abstractNum>
  <w:abstractNum w:abstractNumId="70" w15:restartNumberingAfterBreak="0">
    <w:nsid w:val="31B65B93"/>
    <w:multiLevelType w:val="hybridMultilevel"/>
    <w:tmpl w:val="36086216"/>
    <w:lvl w:ilvl="0" w:tplc="FFFFFFFF">
      <w:start w:val="1"/>
      <w:numFmt w:val="lowerLetter"/>
      <w:lvlText w:val="%1."/>
      <w:lvlJc w:val="left"/>
      <w:pPr>
        <w:ind w:left="720" w:hanging="360"/>
      </w:pPr>
      <w:rPr>
        <w:rFonts w:ascii="Calibri" w:hAnsi="Calibri" w:hint="default"/>
        <w:sz w:val="21"/>
      </w:rPr>
    </w:lvl>
    <w:lvl w:ilvl="1" w:tplc="300A0017">
      <w:start w:val="1"/>
      <w:numFmt w:val="lowerLetter"/>
      <w:lvlText w:val="%2)"/>
      <w:lvlJc w:val="left"/>
      <w:pPr>
        <w:ind w:left="720" w:hanging="360"/>
      </w:pPr>
    </w:lvl>
    <w:lvl w:ilvl="2" w:tplc="FFFFFFFF">
      <w:start w:val="10"/>
      <w:numFmt w:val="decimal"/>
      <w:lvlText w:val="%3."/>
      <w:lvlJc w:val="left"/>
      <w:pPr>
        <w:ind w:left="2340" w:hanging="360"/>
      </w:pPr>
      <w:rPr>
        <w:rFonts w:hint="default"/>
      </w:rPr>
    </w:lvl>
    <w:lvl w:ilvl="3" w:tplc="FFFFFFFF">
      <w:start w:val="1"/>
      <w:numFmt w:val="low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343E60C4"/>
    <w:multiLevelType w:val="multilevel"/>
    <w:tmpl w:val="007A921C"/>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514082B"/>
    <w:multiLevelType w:val="hybridMultilevel"/>
    <w:tmpl w:val="25AC80F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3" w15:restartNumberingAfterBreak="0">
    <w:nsid w:val="36842B9D"/>
    <w:multiLevelType w:val="hybridMultilevel"/>
    <w:tmpl w:val="C64618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4" w15:restartNumberingAfterBreak="0">
    <w:nsid w:val="36E93BD6"/>
    <w:multiLevelType w:val="multilevel"/>
    <w:tmpl w:val="62446722"/>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5" w15:restartNumberingAfterBreak="0">
    <w:nsid w:val="37171CF4"/>
    <w:multiLevelType w:val="hybridMultilevel"/>
    <w:tmpl w:val="887A4B68"/>
    <w:lvl w:ilvl="0" w:tplc="FFFFFFFF">
      <w:start w:val="1"/>
      <w:numFmt w:val="lowerLetter"/>
      <w:lvlText w:val="%1."/>
      <w:lvlJc w:val="left"/>
      <w:pPr>
        <w:ind w:left="720" w:hanging="360"/>
      </w:pPr>
      <w:rPr>
        <w:rFonts w:ascii="Calibri" w:hAnsi="Calibri" w:hint="default"/>
        <w:sz w:val="21"/>
      </w:rPr>
    </w:lvl>
    <w:lvl w:ilvl="1" w:tplc="14BCB9AC">
      <w:start w:val="1"/>
      <w:numFmt w:val="bullet"/>
      <w:lvlText w:val=""/>
      <w:lvlJc w:val="left"/>
      <w:pPr>
        <w:ind w:left="1440" w:hanging="360"/>
      </w:pPr>
      <w:rPr>
        <w:rFonts w:ascii="Symbol" w:hAnsi="Symbol" w:hint="default"/>
      </w:rPr>
    </w:lvl>
    <w:lvl w:ilvl="2" w:tplc="70D6257C">
      <w:start w:val="10"/>
      <w:numFmt w:val="decimal"/>
      <w:lvlText w:val="%3."/>
      <w:lvlJc w:val="left"/>
      <w:pPr>
        <w:ind w:left="2340" w:hanging="360"/>
      </w:pPr>
      <w:rPr>
        <w:rFonts w:hint="default"/>
      </w:rPr>
    </w:lvl>
    <w:lvl w:ilvl="3" w:tplc="5522673A">
      <w:start w:val="1"/>
      <w:numFmt w:val="lowerRoman"/>
      <w:lvlText w:val="(%4)"/>
      <w:lvlJc w:val="left"/>
      <w:pPr>
        <w:ind w:left="3240" w:hanging="72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374D3F7A"/>
    <w:multiLevelType w:val="hybridMultilevel"/>
    <w:tmpl w:val="FC10AFA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7" w15:restartNumberingAfterBreak="0">
    <w:nsid w:val="37853947"/>
    <w:multiLevelType w:val="hybridMultilevel"/>
    <w:tmpl w:val="16DE87B4"/>
    <w:lvl w:ilvl="0" w:tplc="7CE831A2">
      <w:numFmt w:val="bullet"/>
      <w:lvlText w:val="-"/>
      <w:lvlJc w:val="left"/>
      <w:pPr>
        <w:ind w:left="998" w:hanging="418"/>
      </w:pPr>
      <w:rPr>
        <w:rFonts w:ascii="Calibri" w:eastAsia="Calibri" w:hAnsi="Calibri" w:cs="Calibri" w:hint="default"/>
        <w:w w:val="97"/>
        <w:sz w:val="20"/>
        <w:szCs w:val="20"/>
        <w:lang w:val="es-ES" w:eastAsia="en-US" w:bidi="ar-SA"/>
      </w:rPr>
    </w:lvl>
    <w:lvl w:ilvl="1" w:tplc="7658A448">
      <w:numFmt w:val="bullet"/>
      <w:lvlText w:val="•"/>
      <w:lvlJc w:val="left"/>
      <w:pPr>
        <w:ind w:left="1880" w:hanging="418"/>
      </w:pPr>
      <w:rPr>
        <w:rFonts w:hint="default"/>
        <w:lang w:val="es-ES" w:eastAsia="en-US" w:bidi="ar-SA"/>
      </w:rPr>
    </w:lvl>
    <w:lvl w:ilvl="2" w:tplc="CB58844C">
      <w:numFmt w:val="bullet"/>
      <w:lvlText w:val="•"/>
      <w:lvlJc w:val="left"/>
      <w:pPr>
        <w:ind w:left="2760" w:hanging="418"/>
      </w:pPr>
      <w:rPr>
        <w:rFonts w:hint="default"/>
        <w:lang w:val="es-ES" w:eastAsia="en-US" w:bidi="ar-SA"/>
      </w:rPr>
    </w:lvl>
    <w:lvl w:ilvl="3" w:tplc="BBF09C18">
      <w:numFmt w:val="bullet"/>
      <w:lvlText w:val="•"/>
      <w:lvlJc w:val="left"/>
      <w:pPr>
        <w:ind w:left="3640" w:hanging="418"/>
      </w:pPr>
      <w:rPr>
        <w:rFonts w:hint="default"/>
        <w:lang w:val="es-ES" w:eastAsia="en-US" w:bidi="ar-SA"/>
      </w:rPr>
    </w:lvl>
    <w:lvl w:ilvl="4" w:tplc="BFBE8594">
      <w:numFmt w:val="bullet"/>
      <w:lvlText w:val="•"/>
      <w:lvlJc w:val="left"/>
      <w:pPr>
        <w:ind w:left="4520" w:hanging="418"/>
      </w:pPr>
      <w:rPr>
        <w:rFonts w:hint="default"/>
        <w:lang w:val="es-ES" w:eastAsia="en-US" w:bidi="ar-SA"/>
      </w:rPr>
    </w:lvl>
    <w:lvl w:ilvl="5" w:tplc="FAAC1DE4">
      <w:numFmt w:val="bullet"/>
      <w:lvlText w:val="•"/>
      <w:lvlJc w:val="left"/>
      <w:pPr>
        <w:ind w:left="5400" w:hanging="418"/>
      </w:pPr>
      <w:rPr>
        <w:rFonts w:hint="default"/>
        <w:lang w:val="es-ES" w:eastAsia="en-US" w:bidi="ar-SA"/>
      </w:rPr>
    </w:lvl>
    <w:lvl w:ilvl="6" w:tplc="0B5AEDD8">
      <w:numFmt w:val="bullet"/>
      <w:lvlText w:val="•"/>
      <w:lvlJc w:val="left"/>
      <w:pPr>
        <w:ind w:left="6280" w:hanging="418"/>
      </w:pPr>
      <w:rPr>
        <w:rFonts w:hint="default"/>
        <w:lang w:val="es-ES" w:eastAsia="en-US" w:bidi="ar-SA"/>
      </w:rPr>
    </w:lvl>
    <w:lvl w:ilvl="7" w:tplc="1D1E75E2">
      <w:numFmt w:val="bullet"/>
      <w:lvlText w:val="•"/>
      <w:lvlJc w:val="left"/>
      <w:pPr>
        <w:ind w:left="7160" w:hanging="418"/>
      </w:pPr>
      <w:rPr>
        <w:rFonts w:hint="default"/>
        <w:lang w:val="es-ES" w:eastAsia="en-US" w:bidi="ar-SA"/>
      </w:rPr>
    </w:lvl>
    <w:lvl w:ilvl="8" w:tplc="FC5E4B22">
      <w:numFmt w:val="bullet"/>
      <w:lvlText w:val="•"/>
      <w:lvlJc w:val="left"/>
      <w:pPr>
        <w:ind w:left="8040" w:hanging="418"/>
      </w:pPr>
      <w:rPr>
        <w:rFonts w:hint="default"/>
        <w:lang w:val="es-ES" w:eastAsia="en-US" w:bidi="ar-SA"/>
      </w:rPr>
    </w:lvl>
  </w:abstractNum>
  <w:abstractNum w:abstractNumId="78" w15:restartNumberingAfterBreak="0">
    <w:nsid w:val="37D76E8E"/>
    <w:multiLevelType w:val="hybridMultilevel"/>
    <w:tmpl w:val="29540876"/>
    <w:lvl w:ilvl="0" w:tplc="74DA6CFE">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9" w15:restartNumberingAfterBreak="0">
    <w:nsid w:val="38683BE9"/>
    <w:multiLevelType w:val="hybridMultilevel"/>
    <w:tmpl w:val="47169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39C33EAA"/>
    <w:multiLevelType w:val="hybridMultilevel"/>
    <w:tmpl w:val="76063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3A4406B7"/>
    <w:multiLevelType w:val="hybridMultilevel"/>
    <w:tmpl w:val="9594B4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3A993312"/>
    <w:multiLevelType w:val="hybridMultilevel"/>
    <w:tmpl w:val="05F25A4E"/>
    <w:lvl w:ilvl="0" w:tplc="DF6E2798">
      <w:numFmt w:val="bullet"/>
      <w:lvlText w:val="o"/>
      <w:lvlJc w:val="left"/>
      <w:pPr>
        <w:ind w:left="1396" w:hanging="360"/>
      </w:pPr>
      <w:rPr>
        <w:rFonts w:ascii="Courier New" w:eastAsia="Courier New" w:hAnsi="Courier New" w:cs="Courier New" w:hint="default"/>
        <w:w w:val="97"/>
        <w:sz w:val="20"/>
        <w:szCs w:val="20"/>
        <w:lang w:val="es-ES" w:eastAsia="en-US" w:bidi="ar-SA"/>
      </w:rPr>
    </w:lvl>
    <w:lvl w:ilvl="1" w:tplc="6BF86F2A">
      <w:numFmt w:val="bullet"/>
      <w:lvlText w:val="•"/>
      <w:lvlJc w:val="left"/>
      <w:pPr>
        <w:ind w:left="2240" w:hanging="360"/>
      </w:pPr>
      <w:rPr>
        <w:rFonts w:hint="default"/>
        <w:lang w:val="es-ES" w:eastAsia="en-US" w:bidi="ar-SA"/>
      </w:rPr>
    </w:lvl>
    <w:lvl w:ilvl="2" w:tplc="057C9DCC">
      <w:numFmt w:val="bullet"/>
      <w:lvlText w:val="•"/>
      <w:lvlJc w:val="left"/>
      <w:pPr>
        <w:ind w:left="3080" w:hanging="360"/>
      </w:pPr>
      <w:rPr>
        <w:rFonts w:hint="default"/>
        <w:lang w:val="es-ES" w:eastAsia="en-US" w:bidi="ar-SA"/>
      </w:rPr>
    </w:lvl>
    <w:lvl w:ilvl="3" w:tplc="0C104302">
      <w:numFmt w:val="bullet"/>
      <w:lvlText w:val="•"/>
      <w:lvlJc w:val="left"/>
      <w:pPr>
        <w:ind w:left="3920" w:hanging="360"/>
      </w:pPr>
      <w:rPr>
        <w:rFonts w:hint="default"/>
        <w:lang w:val="es-ES" w:eastAsia="en-US" w:bidi="ar-SA"/>
      </w:rPr>
    </w:lvl>
    <w:lvl w:ilvl="4" w:tplc="2D80F456">
      <w:numFmt w:val="bullet"/>
      <w:lvlText w:val="•"/>
      <w:lvlJc w:val="left"/>
      <w:pPr>
        <w:ind w:left="4760" w:hanging="360"/>
      </w:pPr>
      <w:rPr>
        <w:rFonts w:hint="default"/>
        <w:lang w:val="es-ES" w:eastAsia="en-US" w:bidi="ar-SA"/>
      </w:rPr>
    </w:lvl>
    <w:lvl w:ilvl="5" w:tplc="4B02166E">
      <w:numFmt w:val="bullet"/>
      <w:lvlText w:val="•"/>
      <w:lvlJc w:val="left"/>
      <w:pPr>
        <w:ind w:left="5600" w:hanging="360"/>
      </w:pPr>
      <w:rPr>
        <w:rFonts w:hint="default"/>
        <w:lang w:val="es-ES" w:eastAsia="en-US" w:bidi="ar-SA"/>
      </w:rPr>
    </w:lvl>
    <w:lvl w:ilvl="6" w:tplc="F2322A06">
      <w:numFmt w:val="bullet"/>
      <w:lvlText w:val="•"/>
      <w:lvlJc w:val="left"/>
      <w:pPr>
        <w:ind w:left="6440" w:hanging="360"/>
      </w:pPr>
      <w:rPr>
        <w:rFonts w:hint="default"/>
        <w:lang w:val="es-ES" w:eastAsia="en-US" w:bidi="ar-SA"/>
      </w:rPr>
    </w:lvl>
    <w:lvl w:ilvl="7" w:tplc="AE568780">
      <w:numFmt w:val="bullet"/>
      <w:lvlText w:val="•"/>
      <w:lvlJc w:val="left"/>
      <w:pPr>
        <w:ind w:left="7280" w:hanging="360"/>
      </w:pPr>
      <w:rPr>
        <w:rFonts w:hint="default"/>
        <w:lang w:val="es-ES" w:eastAsia="en-US" w:bidi="ar-SA"/>
      </w:rPr>
    </w:lvl>
    <w:lvl w:ilvl="8" w:tplc="AEEE6BA0">
      <w:numFmt w:val="bullet"/>
      <w:lvlText w:val="•"/>
      <w:lvlJc w:val="left"/>
      <w:pPr>
        <w:ind w:left="8120" w:hanging="360"/>
      </w:pPr>
      <w:rPr>
        <w:rFonts w:hint="default"/>
        <w:lang w:val="es-ES" w:eastAsia="en-US" w:bidi="ar-SA"/>
      </w:rPr>
    </w:lvl>
  </w:abstractNum>
  <w:abstractNum w:abstractNumId="83" w15:restartNumberingAfterBreak="0">
    <w:nsid w:val="3B2948E2"/>
    <w:multiLevelType w:val="hybridMultilevel"/>
    <w:tmpl w:val="574686E8"/>
    <w:lvl w:ilvl="0" w:tplc="FFFFFFFF">
      <w:start w:val="1"/>
      <w:numFmt w:val="lowerLetter"/>
      <w:lvlText w:val="%1."/>
      <w:lvlJc w:val="left"/>
      <w:pPr>
        <w:ind w:left="720" w:hanging="360"/>
      </w:pPr>
      <w:rPr>
        <w:rFonts w:ascii="Calibri" w:hAnsi="Calibri" w:hint="default"/>
        <w:sz w:val="21"/>
      </w:rPr>
    </w:lvl>
    <w:lvl w:ilvl="1" w:tplc="14BCB9AC">
      <w:start w:val="1"/>
      <w:numFmt w:val="bullet"/>
      <w:lvlText w:val=""/>
      <w:lvlJc w:val="left"/>
      <w:pPr>
        <w:ind w:left="1440" w:hanging="360"/>
      </w:pPr>
      <w:rPr>
        <w:rFonts w:ascii="Symbol" w:hAnsi="Symbol" w:hint="default"/>
      </w:rPr>
    </w:lvl>
    <w:lvl w:ilvl="2" w:tplc="26D059C4">
      <w:start w:val="10"/>
      <w:numFmt w:val="decimal"/>
      <w:lvlText w:val="%3."/>
      <w:lvlJc w:val="left"/>
      <w:pPr>
        <w:ind w:left="2340" w:hanging="360"/>
      </w:pPr>
      <w:rPr>
        <w:rFonts w:hint="default"/>
      </w:rPr>
    </w:lvl>
    <w:lvl w:ilvl="3" w:tplc="166EDE7A">
      <w:start w:val="1"/>
      <w:numFmt w:val="low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3BF14A53"/>
    <w:multiLevelType w:val="hybridMultilevel"/>
    <w:tmpl w:val="0A76CC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5" w15:restartNumberingAfterBreak="0">
    <w:nsid w:val="3D772E3F"/>
    <w:multiLevelType w:val="hybridMultilevel"/>
    <w:tmpl w:val="659477A0"/>
    <w:lvl w:ilvl="0" w:tplc="300A000F">
      <w:start w:val="1"/>
      <w:numFmt w:val="decimal"/>
      <w:lvlText w:val="%1."/>
      <w:lvlJc w:val="left"/>
      <w:pPr>
        <w:ind w:left="720" w:hanging="360"/>
      </w:pPr>
      <w:rPr>
        <w:rFonts w:eastAsia="Times New Roman"/>
        <w:b w:val="0"/>
        <w:color w:val="auto"/>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86" w15:restartNumberingAfterBreak="0">
    <w:nsid w:val="3DF3439C"/>
    <w:multiLevelType w:val="hybridMultilevel"/>
    <w:tmpl w:val="FB1031A8"/>
    <w:lvl w:ilvl="0" w:tplc="04090001">
      <w:start w:val="1"/>
      <w:numFmt w:val="bullet"/>
      <w:lvlText w:val=""/>
      <w:lvlJc w:val="left"/>
      <w:pPr>
        <w:ind w:left="618" w:hanging="360"/>
      </w:pPr>
      <w:rPr>
        <w:rFonts w:ascii="Symbol" w:hAnsi="Symbol" w:hint="default"/>
      </w:rPr>
    </w:lvl>
    <w:lvl w:ilvl="1" w:tplc="04090003" w:tentative="1">
      <w:start w:val="1"/>
      <w:numFmt w:val="bullet"/>
      <w:lvlText w:val="o"/>
      <w:lvlJc w:val="left"/>
      <w:pPr>
        <w:ind w:left="1338" w:hanging="360"/>
      </w:pPr>
      <w:rPr>
        <w:rFonts w:ascii="Courier New" w:hAnsi="Courier New" w:cs="Courier New" w:hint="default"/>
      </w:rPr>
    </w:lvl>
    <w:lvl w:ilvl="2" w:tplc="04090005" w:tentative="1">
      <w:start w:val="1"/>
      <w:numFmt w:val="bullet"/>
      <w:lvlText w:val=""/>
      <w:lvlJc w:val="left"/>
      <w:pPr>
        <w:ind w:left="2058" w:hanging="360"/>
      </w:pPr>
      <w:rPr>
        <w:rFonts w:ascii="Wingdings" w:hAnsi="Wingdings" w:hint="default"/>
      </w:rPr>
    </w:lvl>
    <w:lvl w:ilvl="3" w:tplc="04090001" w:tentative="1">
      <w:start w:val="1"/>
      <w:numFmt w:val="bullet"/>
      <w:lvlText w:val=""/>
      <w:lvlJc w:val="left"/>
      <w:pPr>
        <w:ind w:left="2778" w:hanging="360"/>
      </w:pPr>
      <w:rPr>
        <w:rFonts w:ascii="Symbol" w:hAnsi="Symbol" w:hint="default"/>
      </w:rPr>
    </w:lvl>
    <w:lvl w:ilvl="4" w:tplc="04090003" w:tentative="1">
      <w:start w:val="1"/>
      <w:numFmt w:val="bullet"/>
      <w:lvlText w:val="o"/>
      <w:lvlJc w:val="left"/>
      <w:pPr>
        <w:ind w:left="3498" w:hanging="360"/>
      </w:pPr>
      <w:rPr>
        <w:rFonts w:ascii="Courier New" w:hAnsi="Courier New" w:cs="Courier New" w:hint="default"/>
      </w:rPr>
    </w:lvl>
    <w:lvl w:ilvl="5" w:tplc="04090005" w:tentative="1">
      <w:start w:val="1"/>
      <w:numFmt w:val="bullet"/>
      <w:lvlText w:val=""/>
      <w:lvlJc w:val="left"/>
      <w:pPr>
        <w:ind w:left="4218" w:hanging="360"/>
      </w:pPr>
      <w:rPr>
        <w:rFonts w:ascii="Wingdings" w:hAnsi="Wingdings" w:hint="default"/>
      </w:rPr>
    </w:lvl>
    <w:lvl w:ilvl="6" w:tplc="04090001" w:tentative="1">
      <w:start w:val="1"/>
      <w:numFmt w:val="bullet"/>
      <w:lvlText w:val=""/>
      <w:lvlJc w:val="left"/>
      <w:pPr>
        <w:ind w:left="4938" w:hanging="360"/>
      </w:pPr>
      <w:rPr>
        <w:rFonts w:ascii="Symbol" w:hAnsi="Symbol" w:hint="default"/>
      </w:rPr>
    </w:lvl>
    <w:lvl w:ilvl="7" w:tplc="04090003" w:tentative="1">
      <w:start w:val="1"/>
      <w:numFmt w:val="bullet"/>
      <w:lvlText w:val="o"/>
      <w:lvlJc w:val="left"/>
      <w:pPr>
        <w:ind w:left="5658" w:hanging="360"/>
      </w:pPr>
      <w:rPr>
        <w:rFonts w:ascii="Courier New" w:hAnsi="Courier New" w:cs="Courier New" w:hint="default"/>
      </w:rPr>
    </w:lvl>
    <w:lvl w:ilvl="8" w:tplc="04090005" w:tentative="1">
      <w:start w:val="1"/>
      <w:numFmt w:val="bullet"/>
      <w:lvlText w:val=""/>
      <w:lvlJc w:val="left"/>
      <w:pPr>
        <w:ind w:left="6378" w:hanging="360"/>
      </w:pPr>
      <w:rPr>
        <w:rFonts w:ascii="Wingdings" w:hAnsi="Wingdings" w:hint="default"/>
      </w:rPr>
    </w:lvl>
  </w:abstractNum>
  <w:abstractNum w:abstractNumId="87" w15:restartNumberingAfterBreak="0">
    <w:nsid w:val="3EDB1FF9"/>
    <w:multiLevelType w:val="multilevel"/>
    <w:tmpl w:val="A00A1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F5433F3"/>
    <w:multiLevelType w:val="hybridMultilevel"/>
    <w:tmpl w:val="7972ACFE"/>
    <w:lvl w:ilvl="0" w:tplc="45CC21BC">
      <w:start w:val="1"/>
      <w:numFmt w:val="bullet"/>
      <w:lvlText w:val=""/>
      <w:lvlJc w:val="left"/>
      <w:pPr>
        <w:ind w:left="720" w:hanging="360"/>
      </w:pPr>
      <w:rPr>
        <w:rFonts w:ascii="Symbol" w:eastAsia="Times New Roman"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9" w15:restartNumberingAfterBreak="0">
    <w:nsid w:val="405C3AC4"/>
    <w:multiLevelType w:val="multilevel"/>
    <w:tmpl w:val="75547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0DA20F1"/>
    <w:multiLevelType w:val="hybridMultilevel"/>
    <w:tmpl w:val="3F9A6708"/>
    <w:lvl w:ilvl="0" w:tplc="300A0011">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91" w15:restartNumberingAfterBreak="0">
    <w:nsid w:val="40FA7FCA"/>
    <w:multiLevelType w:val="hybridMultilevel"/>
    <w:tmpl w:val="8D020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42BE3D4E"/>
    <w:multiLevelType w:val="hybridMultilevel"/>
    <w:tmpl w:val="5598F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43402C23"/>
    <w:multiLevelType w:val="hybridMultilevel"/>
    <w:tmpl w:val="0296A5E4"/>
    <w:lvl w:ilvl="0" w:tplc="0A3CD914">
      <w:start w:val="1"/>
      <w:numFmt w:val="lowerLetter"/>
      <w:lvlText w:val="%1."/>
      <w:lvlJc w:val="left"/>
      <w:pPr>
        <w:ind w:left="720" w:hanging="360"/>
      </w:pPr>
      <w:rPr>
        <w:rFonts w:ascii="Calibri" w:hAnsi="Calibri" w:hint="default"/>
        <w:sz w:val="2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44E2CB4"/>
    <w:multiLevelType w:val="multilevel"/>
    <w:tmpl w:val="72046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44A06F74"/>
    <w:multiLevelType w:val="hybridMultilevel"/>
    <w:tmpl w:val="EDF099EA"/>
    <w:lvl w:ilvl="0" w:tplc="27A42740">
      <w:start w:val="2"/>
      <w:numFmt w:val="bullet"/>
      <w:lvlText w:val="-"/>
      <w:lvlJc w:val="left"/>
      <w:pPr>
        <w:ind w:left="720" w:hanging="360"/>
      </w:pPr>
      <w:rPr>
        <w:rFonts w:ascii="Calibri" w:eastAsia="Times New Roman" w:hAnsi="Calibri" w:cs="Calibri" w:hint="default"/>
        <w:b w:val="0"/>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96" w15:restartNumberingAfterBreak="0">
    <w:nsid w:val="45FA48F9"/>
    <w:multiLevelType w:val="hybridMultilevel"/>
    <w:tmpl w:val="8B5CA882"/>
    <w:lvl w:ilvl="0" w:tplc="300A000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6782618"/>
    <w:multiLevelType w:val="multilevel"/>
    <w:tmpl w:val="1B4A5F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9" w15:restartNumberingAfterBreak="0">
    <w:nsid w:val="47861D2B"/>
    <w:multiLevelType w:val="hybridMultilevel"/>
    <w:tmpl w:val="8F6490CE"/>
    <w:lvl w:ilvl="0" w:tplc="BCAEE694">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00" w15:restartNumberingAfterBreak="0">
    <w:nsid w:val="4902226D"/>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1" w15:restartNumberingAfterBreak="0">
    <w:nsid w:val="4B955F47"/>
    <w:multiLevelType w:val="multilevel"/>
    <w:tmpl w:val="DCB807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4BBF31B3"/>
    <w:multiLevelType w:val="hybridMultilevel"/>
    <w:tmpl w:val="B91CE0AA"/>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4CDE16A4"/>
    <w:multiLevelType w:val="hybridMultilevel"/>
    <w:tmpl w:val="6BB0CB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4" w15:restartNumberingAfterBreak="0">
    <w:nsid w:val="4E3D513B"/>
    <w:multiLevelType w:val="hybridMultilevel"/>
    <w:tmpl w:val="BEBA84A2"/>
    <w:lvl w:ilvl="0" w:tplc="C1963178">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05" w15:restartNumberingAfterBreak="0">
    <w:nsid w:val="4E764168"/>
    <w:multiLevelType w:val="hybridMultilevel"/>
    <w:tmpl w:val="B3B0E0C6"/>
    <w:lvl w:ilvl="0" w:tplc="81FAF7C4">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4F816068"/>
    <w:multiLevelType w:val="hybridMultilevel"/>
    <w:tmpl w:val="C59226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07" w15:restartNumberingAfterBreak="0">
    <w:nsid w:val="4F8C60C7"/>
    <w:multiLevelType w:val="multilevel"/>
    <w:tmpl w:val="D5BAE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27D5C73"/>
    <w:multiLevelType w:val="multilevel"/>
    <w:tmpl w:val="BE66E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528865A2"/>
    <w:multiLevelType w:val="hybridMultilevel"/>
    <w:tmpl w:val="7A4AD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387370C"/>
    <w:multiLevelType w:val="hybridMultilevel"/>
    <w:tmpl w:val="B56A4924"/>
    <w:lvl w:ilvl="0" w:tplc="74DA6CFE">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1" w15:restartNumberingAfterBreak="0">
    <w:nsid w:val="53D02390"/>
    <w:multiLevelType w:val="hybridMultilevel"/>
    <w:tmpl w:val="5D98238A"/>
    <w:lvl w:ilvl="0" w:tplc="C72EC670">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2" w15:restartNumberingAfterBreak="0">
    <w:nsid w:val="54399F20"/>
    <w:multiLevelType w:val="hybridMultilevel"/>
    <w:tmpl w:val="2A6A81A2"/>
    <w:lvl w:ilvl="0" w:tplc="9676D858">
      <w:start w:val="1"/>
      <w:numFmt w:val="bullet"/>
      <w:lvlText w:val=""/>
      <w:lvlJc w:val="left"/>
      <w:pPr>
        <w:ind w:left="720" w:hanging="360"/>
      </w:pPr>
      <w:rPr>
        <w:rFonts w:ascii="Symbol" w:hAnsi="Symbol" w:hint="default"/>
      </w:rPr>
    </w:lvl>
    <w:lvl w:ilvl="1" w:tplc="223E2F0E">
      <w:start w:val="1"/>
      <w:numFmt w:val="bullet"/>
      <w:lvlText w:val="o"/>
      <w:lvlJc w:val="left"/>
      <w:pPr>
        <w:ind w:left="1440" w:hanging="360"/>
      </w:pPr>
      <w:rPr>
        <w:rFonts w:ascii="Courier New" w:hAnsi="Courier New" w:hint="default"/>
      </w:rPr>
    </w:lvl>
    <w:lvl w:ilvl="2" w:tplc="BC9C1C1C">
      <w:start w:val="1"/>
      <w:numFmt w:val="bullet"/>
      <w:lvlText w:val=""/>
      <w:lvlJc w:val="left"/>
      <w:pPr>
        <w:ind w:left="2160" w:hanging="360"/>
      </w:pPr>
      <w:rPr>
        <w:rFonts w:ascii="Wingdings" w:hAnsi="Wingdings" w:hint="default"/>
      </w:rPr>
    </w:lvl>
    <w:lvl w:ilvl="3" w:tplc="A99E861A">
      <w:start w:val="1"/>
      <w:numFmt w:val="bullet"/>
      <w:lvlText w:val=""/>
      <w:lvlJc w:val="left"/>
      <w:pPr>
        <w:ind w:left="2880" w:hanging="360"/>
      </w:pPr>
      <w:rPr>
        <w:rFonts w:ascii="Symbol" w:hAnsi="Symbol" w:hint="default"/>
      </w:rPr>
    </w:lvl>
    <w:lvl w:ilvl="4" w:tplc="244A8EE4">
      <w:start w:val="1"/>
      <w:numFmt w:val="bullet"/>
      <w:lvlText w:val="o"/>
      <w:lvlJc w:val="left"/>
      <w:pPr>
        <w:ind w:left="3600" w:hanging="360"/>
      </w:pPr>
      <w:rPr>
        <w:rFonts w:ascii="Courier New" w:hAnsi="Courier New" w:hint="default"/>
      </w:rPr>
    </w:lvl>
    <w:lvl w:ilvl="5" w:tplc="5852AF64">
      <w:start w:val="1"/>
      <w:numFmt w:val="bullet"/>
      <w:lvlText w:val=""/>
      <w:lvlJc w:val="left"/>
      <w:pPr>
        <w:ind w:left="4320" w:hanging="360"/>
      </w:pPr>
      <w:rPr>
        <w:rFonts w:ascii="Wingdings" w:hAnsi="Wingdings" w:hint="default"/>
      </w:rPr>
    </w:lvl>
    <w:lvl w:ilvl="6" w:tplc="10BEA17C">
      <w:start w:val="1"/>
      <w:numFmt w:val="bullet"/>
      <w:lvlText w:val=""/>
      <w:lvlJc w:val="left"/>
      <w:pPr>
        <w:ind w:left="5040" w:hanging="360"/>
      </w:pPr>
      <w:rPr>
        <w:rFonts w:ascii="Symbol" w:hAnsi="Symbol" w:hint="default"/>
      </w:rPr>
    </w:lvl>
    <w:lvl w:ilvl="7" w:tplc="8AE4CA94">
      <w:start w:val="1"/>
      <w:numFmt w:val="bullet"/>
      <w:lvlText w:val="o"/>
      <w:lvlJc w:val="left"/>
      <w:pPr>
        <w:ind w:left="5760" w:hanging="360"/>
      </w:pPr>
      <w:rPr>
        <w:rFonts w:ascii="Courier New" w:hAnsi="Courier New" w:hint="default"/>
      </w:rPr>
    </w:lvl>
    <w:lvl w:ilvl="8" w:tplc="21C62752">
      <w:start w:val="1"/>
      <w:numFmt w:val="bullet"/>
      <w:lvlText w:val=""/>
      <w:lvlJc w:val="left"/>
      <w:pPr>
        <w:ind w:left="6480" w:hanging="360"/>
      </w:pPr>
      <w:rPr>
        <w:rFonts w:ascii="Wingdings" w:hAnsi="Wingdings" w:hint="default"/>
      </w:rPr>
    </w:lvl>
  </w:abstractNum>
  <w:abstractNum w:abstractNumId="113" w15:restartNumberingAfterBreak="0">
    <w:nsid w:val="550A2E80"/>
    <w:multiLevelType w:val="hybridMultilevel"/>
    <w:tmpl w:val="317CC894"/>
    <w:lvl w:ilvl="0" w:tplc="71DC9ACC">
      <w:numFmt w:val="bullet"/>
      <w:lvlText w:val="-"/>
      <w:lvlJc w:val="left"/>
      <w:pPr>
        <w:ind w:left="1418" w:hanging="358"/>
      </w:pPr>
      <w:rPr>
        <w:rFonts w:ascii="Calibri" w:eastAsia="Calibri" w:hAnsi="Calibri" w:cs="Calibri" w:hint="default"/>
        <w:w w:val="97"/>
        <w:sz w:val="20"/>
        <w:szCs w:val="20"/>
        <w:lang w:val="es-ES" w:eastAsia="en-US" w:bidi="ar-SA"/>
      </w:rPr>
    </w:lvl>
    <w:lvl w:ilvl="1" w:tplc="0DCA7814">
      <w:numFmt w:val="bullet"/>
      <w:lvlText w:val="•"/>
      <w:lvlJc w:val="left"/>
      <w:pPr>
        <w:ind w:left="2258" w:hanging="358"/>
      </w:pPr>
      <w:rPr>
        <w:rFonts w:hint="default"/>
        <w:lang w:val="es-ES" w:eastAsia="en-US" w:bidi="ar-SA"/>
      </w:rPr>
    </w:lvl>
    <w:lvl w:ilvl="2" w:tplc="FECC5FDE">
      <w:numFmt w:val="bullet"/>
      <w:lvlText w:val="•"/>
      <w:lvlJc w:val="left"/>
      <w:pPr>
        <w:ind w:left="3096" w:hanging="358"/>
      </w:pPr>
      <w:rPr>
        <w:rFonts w:hint="default"/>
        <w:lang w:val="es-ES" w:eastAsia="en-US" w:bidi="ar-SA"/>
      </w:rPr>
    </w:lvl>
    <w:lvl w:ilvl="3" w:tplc="1CB6C9E2">
      <w:numFmt w:val="bullet"/>
      <w:lvlText w:val="•"/>
      <w:lvlJc w:val="left"/>
      <w:pPr>
        <w:ind w:left="3934" w:hanging="358"/>
      </w:pPr>
      <w:rPr>
        <w:rFonts w:hint="default"/>
        <w:lang w:val="es-ES" w:eastAsia="en-US" w:bidi="ar-SA"/>
      </w:rPr>
    </w:lvl>
    <w:lvl w:ilvl="4" w:tplc="78061752">
      <w:numFmt w:val="bullet"/>
      <w:lvlText w:val="•"/>
      <w:lvlJc w:val="left"/>
      <w:pPr>
        <w:ind w:left="4772" w:hanging="358"/>
      </w:pPr>
      <w:rPr>
        <w:rFonts w:hint="default"/>
        <w:lang w:val="es-ES" w:eastAsia="en-US" w:bidi="ar-SA"/>
      </w:rPr>
    </w:lvl>
    <w:lvl w:ilvl="5" w:tplc="EC82EBD0">
      <w:numFmt w:val="bullet"/>
      <w:lvlText w:val="•"/>
      <w:lvlJc w:val="left"/>
      <w:pPr>
        <w:ind w:left="5610" w:hanging="358"/>
      </w:pPr>
      <w:rPr>
        <w:rFonts w:hint="default"/>
        <w:lang w:val="es-ES" w:eastAsia="en-US" w:bidi="ar-SA"/>
      </w:rPr>
    </w:lvl>
    <w:lvl w:ilvl="6" w:tplc="3F18DA7C">
      <w:numFmt w:val="bullet"/>
      <w:lvlText w:val="•"/>
      <w:lvlJc w:val="left"/>
      <w:pPr>
        <w:ind w:left="6448" w:hanging="358"/>
      </w:pPr>
      <w:rPr>
        <w:rFonts w:hint="default"/>
        <w:lang w:val="es-ES" w:eastAsia="en-US" w:bidi="ar-SA"/>
      </w:rPr>
    </w:lvl>
    <w:lvl w:ilvl="7" w:tplc="69C8BC5A">
      <w:numFmt w:val="bullet"/>
      <w:lvlText w:val="•"/>
      <w:lvlJc w:val="left"/>
      <w:pPr>
        <w:ind w:left="7286" w:hanging="358"/>
      </w:pPr>
      <w:rPr>
        <w:rFonts w:hint="default"/>
        <w:lang w:val="es-ES" w:eastAsia="en-US" w:bidi="ar-SA"/>
      </w:rPr>
    </w:lvl>
    <w:lvl w:ilvl="8" w:tplc="456CBB48">
      <w:numFmt w:val="bullet"/>
      <w:lvlText w:val="•"/>
      <w:lvlJc w:val="left"/>
      <w:pPr>
        <w:ind w:left="8124" w:hanging="358"/>
      </w:pPr>
      <w:rPr>
        <w:rFonts w:hint="default"/>
        <w:lang w:val="es-ES" w:eastAsia="en-US" w:bidi="ar-SA"/>
      </w:rPr>
    </w:lvl>
  </w:abstractNum>
  <w:abstractNum w:abstractNumId="114" w15:restartNumberingAfterBreak="0">
    <w:nsid w:val="55712409"/>
    <w:multiLevelType w:val="multilevel"/>
    <w:tmpl w:val="270432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565B19AB"/>
    <w:multiLevelType w:val="multilevel"/>
    <w:tmpl w:val="17E29890"/>
    <w:lvl w:ilvl="0">
      <w:start w:val="1"/>
      <w:numFmt w:val="lowerLetter"/>
      <w:lvlText w:val="%1."/>
      <w:lvlJc w:val="left"/>
      <w:pPr>
        <w:ind w:left="720" w:hanging="360"/>
      </w:pPr>
      <w:rPr>
        <w:rFonts w:ascii="Calibri" w:hAnsi="Calibri" w:hint="default"/>
        <w:sz w:val="21"/>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568F7E46"/>
    <w:multiLevelType w:val="hybridMultilevel"/>
    <w:tmpl w:val="0E8436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7" w15:restartNumberingAfterBreak="0">
    <w:nsid w:val="588D5734"/>
    <w:multiLevelType w:val="hybridMultilevel"/>
    <w:tmpl w:val="52C6F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58F920D1"/>
    <w:multiLevelType w:val="hybridMultilevel"/>
    <w:tmpl w:val="7446178E"/>
    <w:lvl w:ilvl="0" w:tplc="F0E879E2">
      <w:numFmt w:val="bullet"/>
      <w:lvlText w:val="◦"/>
      <w:lvlJc w:val="left"/>
      <w:pPr>
        <w:ind w:left="578" w:hanging="360"/>
      </w:pPr>
      <w:rPr>
        <w:rFonts w:ascii="Segoe UI Symbol" w:eastAsia="Segoe UI Symbol" w:hAnsi="Segoe UI Symbol" w:cs="Segoe UI Symbol" w:hint="default"/>
        <w:w w:val="97"/>
        <w:sz w:val="20"/>
        <w:szCs w:val="20"/>
        <w:lang w:val="es-ES" w:eastAsia="en-US" w:bidi="ar-SA"/>
      </w:rPr>
    </w:lvl>
    <w:lvl w:ilvl="1" w:tplc="71D690C2">
      <w:numFmt w:val="bullet"/>
      <w:lvlText w:val="•"/>
      <w:lvlJc w:val="left"/>
      <w:pPr>
        <w:ind w:left="1502" w:hanging="360"/>
      </w:pPr>
      <w:rPr>
        <w:rFonts w:hint="default"/>
        <w:lang w:val="es-ES" w:eastAsia="en-US" w:bidi="ar-SA"/>
      </w:rPr>
    </w:lvl>
    <w:lvl w:ilvl="2" w:tplc="D2DCC62A">
      <w:numFmt w:val="bullet"/>
      <w:lvlText w:val="•"/>
      <w:lvlJc w:val="left"/>
      <w:pPr>
        <w:ind w:left="2424" w:hanging="360"/>
      </w:pPr>
      <w:rPr>
        <w:rFonts w:hint="default"/>
        <w:lang w:val="es-ES" w:eastAsia="en-US" w:bidi="ar-SA"/>
      </w:rPr>
    </w:lvl>
    <w:lvl w:ilvl="3" w:tplc="DD0EDA8A">
      <w:numFmt w:val="bullet"/>
      <w:lvlText w:val="•"/>
      <w:lvlJc w:val="left"/>
      <w:pPr>
        <w:ind w:left="3346" w:hanging="360"/>
      </w:pPr>
      <w:rPr>
        <w:rFonts w:hint="default"/>
        <w:lang w:val="es-ES" w:eastAsia="en-US" w:bidi="ar-SA"/>
      </w:rPr>
    </w:lvl>
    <w:lvl w:ilvl="4" w:tplc="96581BE6">
      <w:numFmt w:val="bullet"/>
      <w:lvlText w:val="•"/>
      <w:lvlJc w:val="left"/>
      <w:pPr>
        <w:ind w:left="4268" w:hanging="360"/>
      </w:pPr>
      <w:rPr>
        <w:rFonts w:hint="default"/>
        <w:lang w:val="es-ES" w:eastAsia="en-US" w:bidi="ar-SA"/>
      </w:rPr>
    </w:lvl>
    <w:lvl w:ilvl="5" w:tplc="A1F00EE8">
      <w:numFmt w:val="bullet"/>
      <w:lvlText w:val="•"/>
      <w:lvlJc w:val="left"/>
      <w:pPr>
        <w:ind w:left="5190" w:hanging="360"/>
      </w:pPr>
      <w:rPr>
        <w:rFonts w:hint="default"/>
        <w:lang w:val="es-ES" w:eastAsia="en-US" w:bidi="ar-SA"/>
      </w:rPr>
    </w:lvl>
    <w:lvl w:ilvl="6" w:tplc="5EFEB926">
      <w:numFmt w:val="bullet"/>
      <w:lvlText w:val="•"/>
      <w:lvlJc w:val="left"/>
      <w:pPr>
        <w:ind w:left="6112" w:hanging="360"/>
      </w:pPr>
      <w:rPr>
        <w:rFonts w:hint="default"/>
        <w:lang w:val="es-ES" w:eastAsia="en-US" w:bidi="ar-SA"/>
      </w:rPr>
    </w:lvl>
    <w:lvl w:ilvl="7" w:tplc="59F6AC3C">
      <w:numFmt w:val="bullet"/>
      <w:lvlText w:val="•"/>
      <w:lvlJc w:val="left"/>
      <w:pPr>
        <w:ind w:left="7034" w:hanging="360"/>
      </w:pPr>
      <w:rPr>
        <w:rFonts w:hint="default"/>
        <w:lang w:val="es-ES" w:eastAsia="en-US" w:bidi="ar-SA"/>
      </w:rPr>
    </w:lvl>
    <w:lvl w:ilvl="8" w:tplc="01380AA2">
      <w:numFmt w:val="bullet"/>
      <w:lvlText w:val="•"/>
      <w:lvlJc w:val="left"/>
      <w:pPr>
        <w:ind w:left="7956" w:hanging="360"/>
      </w:pPr>
      <w:rPr>
        <w:rFonts w:hint="default"/>
        <w:lang w:val="es-ES" w:eastAsia="en-US" w:bidi="ar-SA"/>
      </w:rPr>
    </w:lvl>
  </w:abstractNum>
  <w:abstractNum w:abstractNumId="119" w15:restartNumberingAfterBreak="0">
    <w:nsid w:val="59B94DCF"/>
    <w:multiLevelType w:val="multilevel"/>
    <w:tmpl w:val="6826E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59F30DE0"/>
    <w:multiLevelType w:val="multilevel"/>
    <w:tmpl w:val="D78A6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5AF663F7"/>
    <w:multiLevelType w:val="hybridMultilevel"/>
    <w:tmpl w:val="6E40ECCE"/>
    <w:lvl w:ilvl="0" w:tplc="EBC8F292">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2" w15:restartNumberingAfterBreak="0">
    <w:nsid w:val="5B5C34C3"/>
    <w:multiLevelType w:val="hybridMultilevel"/>
    <w:tmpl w:val="B40EEFE2"/>
    <w:lvl w:ilvl="0" w:tplc="528E7CA4">
      <w:numFmt w:val="bullet"/>
      <w:lvlText w:val="-"/>
      <w:lvlJc w:val="left"/>
      <w:pPr>
        <w:ind w:left="1058" w:hanging="420"/>
      </w:pPr>
      <w:rPr>
        <w:rFonts w:hint="default"/>
        <w:w w:val="97"/>
        <w:lang w:val="es-ES" w:eastAsia="en-US" w:bidi="ar-SA"/>
      </w:rPr>
    </w:lvl>
    <w:lvl w:ilvl="1" w:tplc="1A56C692">
      <w:numFmt w:val="bullet"/>
      <w:lvlText w:val="•"/>
      <w:lvlJc w:val="left"/>
      <w:pPr>
        <w:ind w:left="1934" w:hanging="420"/>
      </w:pPr>
      <w:rPr>
        <w:rFonts w:hint="default"/>
        <w:lang w:val="es-ES" w:eastAsia="en-US" w:bidi="ar-SA"/>
      </w:rPr>
    </w:lvl>
    <w:lvl w:ilvl="2" w:tplc="6D5E1E9C">
      <w:numFmt w:val="bullet"/>
      <w:lvlText w:val="•"/>
      <w:lvlJc w:val="left"/>
      <w:pPr>
        <w:ind w:left="2808" w:hanging="420"/>
      </w:pPr>
      <w:rPr>
        <w:rFonts w:hint="default"/>
        <w:lang w:val="es-ES" w:eastAsia="en-US" w:bidi="ar-SA"/>
      </w:rPr>
    </w:lvl>
    <w:lvl w:ilvl="3" w:tplc="B20285A2">
      <w:numFmt w:val="bullet"/>
      <w:lvlText w:val="•"/>
      <w:lvlJc w:val="left"/>
      <w:pPr>
        <w:ind w:left="3682" w:hanging="420"/>
      </w:pPr>
      <w:rPr>
        <w:rFonts w:hint="default"/>
        <w:lang w:val="es-ES" w:eastAsia="en-US" w:bidi="ar-SA"/>
      </w:rPr>
    </w:lvl>
    <w:lvl w:ilvl="4" w:tplc="324CFAB2">
      <w:numFmt w:val="bullet"/>
      <w:lvlText w:val="•"/>
      <w:lvlJc w:val="left"/>
      <w:pPr>
        <w:ind w:left="4556" w:hanging="420"/>
      </w:pPr>
      <w:rPr>
        <w:rFonts w:hint="default"/>
        <w:lang w:val="es-ES" w:eastAsia="en-US" w:bidi="ar-SA"/>
      </w:rPr>
    </w:lvl>
    <w:lvl w:ilvl="5" w:tplc="06A0952C">
      <w:numFmt w:val="bullet"/>
      <w:lvlText w:val="•"/>
      <w:lvlJc w:val="left"/>
      <w:pPr>
        <w:ind w:left="5430" w:hanging="420"/>
      </w:pPr>
      <w:rPr>
        <w:rFonts w:hint="default"/>
        <w:lang w:val="es-ES" w:eastAsia="en-US" w:bidi="ar-SA"/>
      </w:rPr>
    </w:lvl>
    <w:lvl w:ilvl="6" w:tplc="63F40EF8">
      <w:numFmt w:val="bullet"/>
      <w:lvlText w:val="•"/>
      <w:lvlJc w:val="left"/>
      <w:pPr>
        <w:ind w:left="6304" w:hanging="420"/>
      </w:pPr>
      <w:rPr>
        <w:rFonts w:hint="default"/>
        <w:lang w:val="es-ES" w:eastAsia="en-US" w:bidi="ar-SA"/>
      </w:rPr>
    </w:lvl>
    <w:lvl w:ilvl="7" w:tplc="9002317C">
      <w:numFmt w:val="bullet"/>
      <w:lvlText w:val="•"/>
      <w:lvlJc w:val="left"/>
      <w:pPr>
        <w:ind w:left="7178" w:hanging="420"/>
      </w:pPr>
      <w:rPr>
        <w:rFonts w:hint="default"/>
        <w:lang w:val="es-ES" w:eastAsia="en-US" w:bidi="ar-SA"/>
      </w:rPr>
    </w:lvl>
    <w:lvl w:ilvl="8" w:tplc="AEC66A16">
      <w:numFmt w:val="bullet"/>
      <w:lvlText w:val="•"/>
      <w:lvlJc w:val="left"/>
      <w:pPr>
        <w:ind w:left="8052" w:hanging="420"/>
      </w:pPr>
      <w:rPr>
        <w:rFonts w:hint="default"/>
        <w:lang w:val="es-ES" w:eastAsia="en-US" w:bidi="ar-SA"/>
      </w:rPr>
    </w:lvl>
  </w:abstractNum>
  <w:abstractNum w:abstractNumId="123" w15:restartNumberingAfterBreak="0">
    <w:nsid w:val="5BD1177F"/>
    <w:multiLevelType w:val="hybridMultilevel"/>
    <w:tmpl w:val="4D845034"/>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4" w15:restartNumberingAfterBreak="0">
    <w:nsid w:val="5D6401EC"/>
    <w:multiLevelType w:val="hybridMultilevel"/>
    <w:tmpl w:val="F2DEF584"/>
    <w:lvl w:ilvl="0" w:tplc="75CEE968">
      <w:start w:val="1"/>
      <w:numFmt w:val="bullet"/>
      <w:lvlText w:val=""/>
      <w:lvlJc w:val="left"/>
      <w:pPr>
        <w:ind w:left="720" w:hanging="360"/>
      </w:pPr>
      <w:rPr>
        <w:rFonts w:ascii="Symbol" w:hAnsi="Symbol"/>
      </w:rPr>
    </w:lvl>
    <w:lvl w:ilvl="1" w:tplc="EC20484E">
      <w:start w:val="1"/>
      <w:numFmt w:val="bullet"/>
      <w:lvlText w:val=""/>
      <w:lvlJc w:val="left"/>
      <w:pPr>
        <w:ind w:left="720" w:hanging="360"/>
      </w:pPr>
      <w:rPr>
        <w:rFonts w:ascii="Symbol" w:hAnsi="Symbol"/>
      </w:rPr>
    </w:lvl>
    <w:lvl w:ilvl="2" w:tplc="5E987818">
      <w:start w:val="1"/>
      <w:numFmt w:val="bullet"/>
      <w:lvlText w:val=""/>
      <w:lvlJc w:val="left"/>
      <w:pPr>
        <w:ind w:left="720" w:hanging="360"/>
      </w:pPr>
      <w:rPr>
        <w:rFonts w:ascii="Symbol" w:hAnsi="Symbol"/>
      </w:rPr>
    </w:lvl>
    <w:lvl w:ilvl="3" w:tplc="8CB460AE">
      <w:start w:val="1"/>
      <w:numFmt w:val="bullet"/>
      <w:lvlText w:val=""/>
      <w:lvlJc w:val="left"/>
      <w:pPr>
        <w:ind w:left="720" w:hanging="360"/>
      </w:pPr>
      <w:rPr>
        <w:rFonts w:ascii="Symbol" w:hAnsi="Symbol"/>
      </w:rPr>
    </w:lvl>
    <w:lvl w:ilvl="4" w:tplc="56F8FAD8">
      <w:start w:val="1"/>
      <w:numFmt w:val="bullet"/>
      <w:lvlText w:val=""/>
      <w:lvlJc w:val="left"/>
      <w:pPr>
        <w:ind w:left="720" w:hanging="360"/>
      </w:pPr>
      <w:rPr>
        <w:rFonts w:ascii="Symbol" w:hAnsi="Symbol"/>
      </w:rPr>
    </w:lvl>
    <w:lvl w:ilvl="5" w:tplc="F19219B4">
      <w:start w:val="1"/>
      <w:numFmt w:val="bullet"/>
      <w:lvlText w:val=""/>
      <w:lvlJc w:val="left"/>
      <w:pPr>
        <w:ind w:left="720" w:hanging="360"/>
      </w:pPr>
      <w:rPr>
        <w:rFonts w:ascii="Symbol" w:hAnsi="Symbol"/>
      </w:rPr>
    </w:lvl>
    <w:lvl w:ilvl="6" w:tplc="829E5248">
      <w:start w:val="1"/>
      <w:numFmt w:val="bullet"/>
      <w:lvlText w:val=""/>
      <w:lvlJc w:val="left"/>
      <w:pPr>
        <w:ind w:left="720" w:hanging="360"/>
      </w:pPr>
      <w:rPr>
        <w:rFonts w:ascii="Symbol" w:hAnsi="Symbol"/>
      </w:rPr>
    </w:lvl>
    <w:lvl w:ilvl="7" w:tplc="1BA2657E">
      <w:start w:val="1"/>
      <w:numFmt w:val="bullet"/>
      <w:lvlText w:val=""/>
      <w:lvlJc w:val="left"/>
      <w:pPr>
        <w:ind w:left="720" w:hanging="360"/>
      </w:pPr>
      <w:rPr>
        <w:rFonts w:ascii="Symbol" w:hAnsi="Symbol"/>
      </w:rPr>
    </w:lvl>
    <w:lvl w:ilvl="8" w:tplc="F4AE5E5E">
      <w:start w:val="1"/>
      <w:numFmt w:val="bullet"/>
      <w:lvlText w:val=""/>
      <w:lvlJc w:val="left"/>
      <w:pPr>
        <w:ind w:left="720" w:hanging="360"/>
      </w:pPr>
      <w:rPr>
        <w:rFonts w:ascii="Symbol" w:hAnsi="Symbol"/>
      </w:rPr>
    </w:lvl>
  </w:abstractNum>
  <w:abstractNum w:abstractNumId="125" w15:restartNumberingAfterBreak="0">
    <w:nsid w:val="5D6663B2"/>
    <w:multiLevelType w:val="multilevel"/>
    <w:tmpl w:val="CE1A6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5DCD41EB"/>
    <w:multiLevelType w:val="hybridMultilevel"/>
    <w:tmpl w:val="11007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7" w15:restartNumberingAfterBreak="0">
    <w:nsid w:val="5E11796A"/>
    <w:multiLevelType w:val="multilevel"/>
    <w:tmpl w:val="494E9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5E9D6644"/>
    <w:multiLevelType w:val="hybridMultilevel"/>
    <w:tmpl w:val="2370E05E"/>
    <w:lvl w:ilvl="0" w:tplc="300A0005">
      <w:start w:val="1"/>
      <w:numFmt w:val="bullet"/>
      <w:lvlText w:val=""/>
      <w:lvlJc w:val="left"/>
      <w:pPr>
        <w:ind w:left="1068" w:hanging="360"/>
      </w:pPr>
      <w:rPr>
        <w:rFonts w:ascii="Wingdings" w:hAnsi="Wingdings" w:hint="default"/>
      </w:rPr>
    </w:lvl>
    <w:lvl w:ilvl="1" w:tplc="300A0003">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29" w15:restartNumberingAfterBreak="0">
    <w:nsid w:val="60A576EE"/>
    <w:multiLevelType w:val="hybridMultilevel"/>
    <w:tmpl w:val="B600D664"/>
    <w:lvl w:ilvl="0" w:tplc="FFFFFFFF">
      <w:start w:val="1"/>
      <w:numFmt w:val="lowerLetter"/>
      <w:lvlText w:val="%1."/>
      <w:lvlJc w:val="left"/>
      <w:pPr>
        <w:ind w:left="720" w:hanging="360"/>
      </w:pPr>
      <w:rPr>
        <w:rFonts w:ascii="Calibri" w:hAnsi="Calibri" w:hint="default"/>
        <w:sz w:val="21"/>
      </w:rPr>
    </w:lvl>
    <w:lvl w:ilvl="1" w:tplc="300A0001">
      <w:start w:val="1"/>
      <w:numFmt w:val="bullet"/>
      <w:lvlText w:val=""/>
      <w:lvlJc w:val="left"/>
      <w:pPr>
        <w:ind w:left="720" w:hanging="360"/>
      </w:pPr>
      <w:rPr>
        <w:rFonts w:ascii="Symbol" w:hAnsi="Symbol" w:hint="default"/>
      </w:rPr>
    </w:lvl>
    <w:lvl w:ilvl="2" w:tplc="FFFFFFFF">
      <w:start w:val="10"/>
      <w:numFmt w:val="decimal"/>
      <w:lvlText w:val="%3."/>
      <w:lvlJc w:val="left"/>
      <w:pPr>
        <w:ind w:left="2340" w:hanging="360"/>
      </w:pPr>
      <w:rPr>
        <w:rFonts w:hint="default"/>
      </w:rPr>
    </w:lvl>
    <w:lvl w:ilvl="3" w:tplc="FFFFFFFF">
      <w:start w:val="1"/>
      <w:numFmt w:val="low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61414E60"/>
    <w:multiLevelType w:val="hybridMultilevel"/>
    <w:tmpl w:val="1C263A02"/>
    <w:lvl w:ilvl="0" w:tplc="FFFFFFFF">
      <w:start w:val="1"/>
      <w:numFmt w:val="lowerLetter"/>
      <w:lvlText w:val="%1."/>
      <w:lvlJc w:val="left"/>
      <w:pPr>
        <w:ind w:left="1080" w:hanging="360"/>
      </w:pPr>
      <w:rPr>
        <w:rFonts w:ascii="Calibri" w:hAnsi="Calibri" w:hint="default"/>
        <w:sz w:val="21"/>
      </w:rPr>
    </w:lvl>
    <w:lvl w:ilvl="1" w:tplc="300A0019">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31" w15:restartNumberingAfterBreak="0">
    <w:nsid w:val="62580700"/>
    <w:multiLevelType w:val="multilevel"/>
    <w:tmpl w:val="879CF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63AA3D99"/>
    <w:multiLevelType w:val="hybridMultilevel"/>
    <w:tmpl w:val="B292FF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33" w15:restartNumberingAfterBreak="0">
    <w:nsid w:val="65246376"/>
    <w:multiLevelType w:val="multilevel"/>
    <w:tmpl w:val="D8B2A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65C45DEB"/>
    <w:multiLevelType w:val="hybridMultilevel"/>
    <w:tmpl w:val="937442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5" w15:restartNumberingAfterBreak="0">
    <w:nsid w:val="66231A6E"/>
    <w:multiLevelType w:val="hybridMultilevel"/>
    <w:tmpl w:val="26142052"/>
    <w:lvl w:ilvl="0" w:tplc="5FAE06F0">
      <w:numFmt w:val="bullet"/>
      <w:lvlText w:val="-"/>
      <w:lvlJc w:val="left"/>
      <w:pPr>
        <w:ind w:left="1058" w:hanging="420"/>
      </w:pPr>
      <w:rPr>
        <w:rFonts w:hint="default"/>
        <w:w w:val="97"/>
        <w:lang w:val="es-ES" w:eastAsia="en-US" w:bidi="ar-SA"/>
      </w:rPr>
    </w:lvl>
    <w:lvl w:ilvl="1" w:tplc="981033F2">
      <w:numFmt w:val="bullet"/>
      <w:lvlText w:val="-"/>
      <w:lvlJc w:val="left"/>
      <w:pPr>
        <w:ind w:left="1346" w:hanging="418"/>
      </w:pPr>
      <w:rPr>
        <w:rFonts w:ascii="Calibri" w:eastAsia="Calibri" w:hAnsi="Calibri" w:cs="Calibri" w:hint="default"/>
        <w:w w:val="97"/>
        <w:sz w:val="20"/>
        <w:szCs w:val="20"/>
        <w:lang w:val="es-ES" w:eastAsia="en-US" w:bidi="ar-SA"/>
      </w:rPr>
    </w:lvl>
    <w:lvl w:ilvl="2" w:tplc="48BE0C0C">
      <w:numFmt w:val="bullet"/>
      <w:lvlText w:val="•"/>
      <w:lvlJc w:val="left"/>
      <w:pPr>
        <w:ind w:left="2280" w:hanging="418"/>
      </w:pPr>
      <w:rPr>
        <w:rFonts w:hint="default"/>
        <w:lang w:val="es-ES" w:eastAsia="en-US" w:bidi="ar-SA"/>
      </w:rPr>
    </w:lvl>
    <w:lvl w:ilvl="3" w:tplc="9C8C1294">
      <w:numFmt w:val="bullet"/>
      <w:lvlText w:val="•"/>
      <w:lvlJc w:val="left"/>
      <w:pPr>
        <w:ind w:left="3220" w:hanging="418"/>
      </w:pPr>
      <w:rPr>
        <w:rFonts w:hint="default"/>
        <w:lang w:val="es-ES" w:eastAsia="en-US" w:bidi="ar-SA"/>
      </w:rPr>
    </w:lvl>
    <w:lvl w:ilvl="4" w:tplc="0E3C708C">
      <w:numFmt w:val="bullet"/>
      <w:lvlText w:val="•"/>
      <w:lvlJc w:val="left"/>
      <w:pPr>
        <w:ind w:left="4160" w:hanging="418"/>
      </w:pPr>
      <w:rPr>
        <w:rFonts w:hint="default"/>
        <w:lang w:val="es-ES" w:eastAsia="en-US" w:bidi="ar-SA"/>
      </w:rPr>
    </w:lvl>
    <w:lvl w:ilvl="5" w:tplc="3C9EF69E">
      <w:numFmt w:val="bullet"/>
      <w:lvlText w:val="•"/>
      <w:lvlJc w:val="left"/>
      <w:pPr>
        <w:ind w:left="5100" w:hanging="418"/>
      </w:pPr>
      <w:rPr>
        <w:rFonts w:hint="default"/>
        <w:lang w:val="es-ES" w:eastAsia="en-US" w:bidi="ar-SA"/>
      </w:rPr>
    </w:lvl>
    <w:lvl w:ilvl="6" w:tplc="BEFECD36">
      <w:numFmt w:val="bullet"/>
      <w:lvlText w:val="•"/>
      <w:lvlJc w:val="left"/>
      <w:pPr>
        <w:ind w:left="6040" w:hanging="418"/>
      </w:pPr>
      <w:rPr>
        <w:rFonts w:hint="default"/>
        <w:lang w:val="es-ES" w:eastAsia="en-US" w:bidi="ar-SA"/>
      </w:rPr>
    </w:lvl>
    <w:lvl w:ilvl="7" w:tplc="044294F6">
      <w:numFmt w:val="bullet"/>
      <w:lvlText w:val="•"/>
      <w:lvlJc w:val="left"/>
      <w:pPr>
        <w:ind w:left="6980" w:hanging="418"/>
      </w:pPr>
      <w:rPr>
        <w:rFonts w:hint="default"/>
        <w:lang w:val="es-ES" w:eastAsia="en-US" w:bidi="ar-SA"/>
      </w:rPr>
    </w:lvl>
    <w:lvl w:ilvl="8" w:tplc="0AB41358">
      <w:numFmt w:val="bullet"/>
      <w:lvlText w:val="•"/>
      <w:lvlJc w:val="left"/>
      <w:pPr>
        <w:ind w:left="7920" w:hanging="418"/>
      </w:pPr>
      <w:rPr>
        <w:rFonts w:hint="default"/>
        <w:lang w:val="es-ES" w:eastAsia="en-US" w:bidi="ar-SA"/>
      </w:rPr>
    </w:lvl>
  </w:abstractNum>
  <w:abstractNum w:abstractNumId="136"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7" w15:restartNumberingAfterBreak="0">
    <w:nsid w:val="67796683"/>
    <w:multiLevelType w:val="hybridMultilevel"/>
    <w:tmpl w:val="151E5C9A"/>
    <w:lvl w:ilvl="0" w:tplc="E63666D2">
      <w:start w:val="1"/>
      <w:numFmt w:val="bullet"/>
      <w:lvlText w:val=""/>
      <w:lvlJc w:val="left"/>
      <w:pPr>
        <w:ind w:left="720" w:hanging="360"/>
      </w:pPr>
      <w:rPr>
        <w:rFonts w:ascii="Symbol" w:hAnsi="Symbol"/>
      </w:rPr>
    </w:lvl>
    <w:lvl w:ilvl="1" w:tplc="1096C386">
      <w:start w:val="1"/>
      <w:numFmt w:val="bullet"/>
      <w:lvlText w:val=""/>
      <w:lvlJc w:val="left"/>
      <w:pPr>
        <w:ind w:left="720" w:hanging="360"/>
      </w:pPr>
      <w:rPr>
        <w:rFonts w:ascii="Symbol" w:hAnsi="Symbol"/>
      </w:rPr>
    </w:lvl>
    <w:lvl w:ilvl="2" w:tplc="72C43DC4">
      <w:start w:val="1"/>
      <w:numFmt w:val="bullet"/>
      <w:lvlText w:val=""/>
      <w:lvlJc w:val="left"/>
      <w:pPr>
        <w:ind w:left="720" w:hanging="360"/>
      </w:pPr>
      <w:rPr>
        <w:rFonts w:ascii="Symbol" w:hAnsi="Symbol"/>
      </w:rPr>
    </w:lvl>
    <w:lvl w:ilvl="3" w:tplc="D49273B2">
      <w:start w:val="1"/>
      <w:numFmt w:val="bullet"/>
      <w:lvlText w:val=""/>
      <w:lvlJc w:val="left"/>
      <w:pPr>
        <w:ind w:left="720" w:hanging="360"/>
      </w:pPr>
      <w:rPr>
        <w:rFonts w:ascii="Symbol" w:hAnsi="Symbol"/>
      </w:rPr>
    </w:lvl>
    <w:lvl w:ilvl="4" w:tplc="F91680EA">
      <w:start w:val="1"/>
      <w:numFmt w:val="bullet"/>
      <w:lvlText w:val=""/>
      <w:lvlJc w:val="left"/>
      <w:pPr>
        <w:ind w:left="720" w:hanging="360"/>
      </w:pPr>
      <w:rPr>
        <w:rFonts w:ascii="Symbol" w:hAnsi="Symbol"/>
      </w:rPr>
    </w:lvl>
    <w:lvl w:ilvl="5" w:tplc="FF425202">
      <w:start w:val="1"/>
      <w:numFmt w:val="bullet"/>
      <w:lvlText w:val=""/>
      <w:lvlJc w:val="left"/>
      <w:pPr>
        <w:ind w:left="720" w:hanging="360"/>
      </w:pPr>
      <w:rPr>
        <w:rFonts w:ascii="Symbol" w:hAnsi="Symbol"/>
      </w:rPr>
    </w:lvl>
    <w:lvl w:ilvl="6" w:tplc="75D015E4">
      <w:start w:val="1"/>
      <w:numFmt w:val="bullet"/>
      <w:lvlText w:val=""/>
      <w:lvlJc w:val="left"/>
      <w:pPr>
        <w:ind w:left="720" w:hanging="360"/>
      </w:pPr>
      <w:rPr>
        <w:rFonts w:ascii="Symbol" w:hAnsi="Symbol"/>
      </w:rPr>
    </w:lvl>
    <w:lvl w:ilvl="7" w:tplc="1FC65BE4">
      <w:start w:val="1"/>
      <w:numFmt w:val="bullet"/>
      <w:lvlText w:val=""/>
      <w:lvlJc w:val="left"/>
      <w:pPr>
        <w:ind w:left="720" w:hanging="360"/>
      </w:pPr>
      <w:rPr>
        <w:rFonts w:ascii="Symbol" w:hAnsi="Symbol"/>
      </w:rPr>
    </w:lvl>
    <w:lvl w:ilvl="8" w:tplc="D5B2A460">
      <w:start w:val="1"/>
      <w:numFmt w:val="bullet"/>
      <w:lvlText w:val=""/>
      <w:lvlJc w:val="left"/>
      <w:pPr>
        <w:ind w:left="720" w:hanging="360"/>
      </w:pPr>
      <w:rPr>
        <w:rFonts w:ascii="Symbol" w:hAnsi="Symbol"/>
      </w:rPr>
    </w:lvl>
  </w:abstractNum>
  <w:abstractNum w:abstractNumId="138" w15:restartNumberingAfterBreak="0">
    <w:nsid w:val="67F32D79"/>
    <w:multiLevelType w:val="hybridMultilevel"/>
    <w:tmpl w:val="B2DC1B64"/>
    <w:lvl w:ilvl="0" w:tplc="40CC3FA0">
      <w:start w:val="1"/>
      <w:numFmt w:val="bullet"/>
      <w:lvlText w:val=""/>
      <w:lvlJc w:val="left"/>
      <w:pPr>
        <w:ind w:left="720" w:hanging="360"/>
      </w:pPr>
      <w:rPr>
        <w:rFonts w:ascii="Symbol" w:hAnsi="Symbol"/>
      </w:rPr>
    </w:lvl>
    <w:lvl w:ilvl="1" w:tplc="2EFCF8F0">
      <w:start w:val="1"/>
      <w:numFmt w:val="bullet"/>
      <w:lvlText w:val=""/>
      <w:lvlJc w:val="left"/>
      <w:pPr>
        <w:ind w:left="720" w:hanging="360"/>
      </w:pPr>
      <w:rPr>
        <w:rFonts w:ascii="Symbol" w:hAnsi="Symbol"/>
      </w:rPr>
    </w:lvl>
    <w:lvl w:ilvl="2" w:tplc="3BB4B802">
      <w:start w:val="1"/>
      <w:numFmt w:val="bullet"/>
      <w:lvlText w:val=""/>
      <w:lvlJc w:val="left"/>
      <w:pPr>
        <w:ind w:left="720" w:hanging="360"/>
      </w:pPr>
      <w:rPr>
        <w:rFonts w:ascii="Symbol" w:hAnsi="Symbol"/>
      </w:rPr>
    </w:lvl>
    <w:lvl w:ilvl="3" w:tplc="CAC44D26">
      <w:start w:val="1"/>
      <w:numFmt w:val="bullet"/>
      <w:lvlText w:val=""/>
      <w:lvlJc w:val="left"/>
      <w:pPr>
        <w:ind w:left="720" w:hanging="360"/>
      </w:pPr>
      <w:rPr>
        <w:rFonts w:ascii="Symbol" w:hAnsi="Symbol"/>
      </w:rPr>
    </w:lvl>
    <w:lvl w:ilvl="4" w:tplc="23B66CA2">
      <w:start w:val="1"/>
      <w:numFmt w:val="bullet"/>
      <w:lvlText w:val=""/>
      <w:lvlJc w:val="left"/>
      <w:pPr>
        <w:ind w:left="720" w:hanging="360"/>
      </w:pPr>
      <w:rPr>
        <w:rFonts w:ascii="Symbol" w:hAnsi="Symbol"/>
      </w:rPr>
    </w:lvl>
    <w:lvl w:ilvl="5" w:tplc="1F64A2FC">
      <w:start w:val="1"/>
      <w:numFmt w:val="bullet"/>
      <w:lvlText w:val=""/>
      <w:lvlJc w:val="left"/>
      <w:pPr>
        <w:ind w:left="720" w:hanging="360"/>
      </w:pPr>
      <w:rPr>
        <w:rFonts w:ascii="Symbol" w:hAnsi="Symbol"/>
      </w:rPr>
    </w:lvl>
    <w:lvl w:ilvl="6" w:tplc="27125382">
      <w:start w:val="1"/>
      <w:numFmt w:val="bullet"/>
      <w:lvlText w:val=""/>
      <w:lvlJc w:val="left"/>
      <w:pPr>
        <w:ind w:left="720" w:hanging="360"/>
      </w:pPr>
      <w:rPr>
        <w:rFonts w:ascii="Symbol" w:hAnsi="Symbol"/>
      </w:rPr>
    </w:lvl>
    <w:lvl w:ilvl="7" w:tplc="FE886CB6">
      <w:start w:val="1"/>
      <w:numFmt w:val="bullet"/>
      <w:lvlText w:val=""/>
      <w:lvlJc w:val="left"/>
      <w:pPr>
        <w:ind w:left="720" w:hanging="360"/>
      </w:pPr>
      <w:rPr>
        <w:rFonts w:ascii="Symbol" w:hAnsi="Symbol"/>
      </w:rPr>
    </w:lvl>
    <w:lvl w:ilvl="8" w:tplc="E070B252">
      <w:start w:val="1"/>
      <w:numFmt w:val="bullet"/>
      <w:lvlText w:val=""/>
      <w:lvlJc w:val="left"/>
      <w:pPr>
        <w:ind w:left="720" w:hanging="360"/>
      </w:pPr>
      <w:rPr>
        <w:rFonts w:ascii="Symbol" w:hAnsi="Symbol"/>
      </w:rPr>
    </w:lvl>
  </w:abstractNum>
  <w:abstractNum w:abstractNumId="139" w15:restartNumberingAfterBreak="0">
    <w:nsid w:val="68350140"/>
    <w:multiLevelType w:val="multilevel"/>
    <w:tmpl w:val="406AB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686B126C"/>
    <w:multiLevelType w:val="hybridMultilevel"/>
    <w:tmpl w:val="B59A5A6E"/>
    <w:lvl w:ilvl="0" w:tplc="0A3CD914">
      <w:start w:val="1"/>
      <w:numFmt w:val="lowerLetter"/>
      <w:lvlText w:val="%1."/>
      <w:lvlJc w:val="left"/>
      <w:pPr>
        <w:ind w:left="720" w:hanging="360"/>
      </w:pPr>
      <w:rPr>
        <w:rFonts w:ascii="Calibri" w:hAnsi="Calibri" w:hint="default"/>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9677248"/>
    <w:multiLevelType w:val="multilevel"/>
    <w:tmpl w:val="E904C216"/>
    <w:lvl w:ilvl="0">
      <w:start w:val="2"/>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2" w15:restartNumberingAfterBreak="0">
    <w:nsid w:val="696F2611"/>
    <w:multiLevelType w:val="hybridMultilevel"/>
    <w:tmpl w:val="B59A5A6E"/>
    <w:lvl w:ilvl="0" w:tplc="FFFFFFFF">
      <w:start w:val="1"/>
      <w:numFmt w:val="lowerLetter"/>
      <w:lvlText w:val="%1."/>
      <w:lvlJc w:val="left"/>
      <w:pPr>
        <w:ind w:left="720" w:hanging="360"/>
      </w:pPr>
      <w:rPr>
        <w:rFonts w:ascii="Calibri" w:hAnsi="Calibri" w:hint="default"/>
        <w:sz w:val="2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69DA2A81"/>
    <w:multiLevelType w:val="hybridMultilevel"/>
    <w:tmpl w:val="62E69E80"/>
    <w:lvl w:ilvl="0" w:tplc="300A0001">
      <w:start w:val="1"/>
      <w:numFmt w:val="bullet"/>
      <w:lvlText w:val=""/>
      <w:lvlJc w:val="left"/>
      <w:pPr>
        <w:ind w:left="1211" w:hanging="360"/>
      </w:pPr>
      <w:rPr>
        <w:rFonts w:ascii="Symbol" w:hAnsi="Symbol" w:hint="default"/>
        <w:sz w:val="21"/>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44" w15:restartNumberingAfterBreak="0">
    <w:nsid w:val="69FF3C85"/>
    <w:multiLevelType w:val="hybridMultilevel"/>
    <w:tmpl w:val="1642576C"/>
    <w:lvl w:ilvl="0" w:tplc="27A42740">
      <w:start w:val="2"/>
      <w:numFmt w:val="bullet"/>
      <w:lvlText w:val="-"/>
      <w:lvlJc w:val="left"/>
      <w:pPr>
        <w:ind w:left="720" w:hanging="360"/>
      </w:pPr>
      <w:rPr>
        <w:rFonts w:ascii="Calibri" w:eastAsia="Times New Roman" w:hAnsi="Calibri" w:cs="Calibri" w:hint="default"/>
        <w:b w:val="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5" w15:restartNumberingAfterBreak="0">
    <w:nsid w:val="742B72CA"/>
    <w:multiLevelType w:val="hybridMultilevel"/>
    <w:tmpl w:val="05CE02C4"/>
    <w:lvl w:ilvl="0" w:tplc="74DA6CFE">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6" w15:restartNumberingAfterBreak="0">
    <w:nsid w:val="753D779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75B617C6"/>
    <w:multiLevelType w:val="hybridMultilevel"/>
    <w:tmpl w:val="9836EFE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8" w15:restartNumberingAfterBreak="0">
    <w:nsid w:val="76C35789"/>
    <w:multiLevelType w:val="multilevel"/>
    <w:tmpl w:val="B992A67E"/>
    <w:lvl w:ilvl="0">
      <w:start w:val="17"/>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9" w15:restartNumberingAfterBreak="0">
    <w:nsid w:val="771C507B"/>
    <w:multiLevelType w:val="hybridMultilevel"/>
    <w:tmpl w:val="6470A3EC"/>
    <w:lvl w:ilvl="0" w:tplc="FFFFFFFF">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0" w15:restartNumberingAfterBreak="0">
    <w:nsid w:val="78163B72"/>
    <w:multiLevelType w:val="hybridMultilevel"/>
    <w:tmpl w:val="108C3C54"/>
    <w:lvl w:ilvl="0" w:tplc="7FAC8F4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693958"/>
    <w:multiLevelType w:val="hybridMultilevel"/>
    <w:tmpl w:val="5B3A4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79477BC5"/>
    <w:multiLevelType w:val="hybridMultilevel"/>
    <w:tmpl w:val="092E857E"/>
    <w:lvl w:ilvl="0" w:tplc="AFF84C6C">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53"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7B647DDF"/>
    <w:multiLevelType w:val="hybridMultilevel"/>
    <w:tmpl w:val="52EC8D84"/>
    <w:lvl w:ilvl="0" w:tplc="7CE84324">
      <w:start w:val="1"/>
      <w:numFmt w:val="decimal"/>
      <w:lvlText w:val="%1."/>
      <w:lvlJc w:val="left"/>
      <w:pPr>
        <w:tabs>
          <w:tab w:val="num" w:pos="720"/>
        </w:tabs>
        <w:ind w:left="720" w:hanging="360"/>
      </w:pPr>
    </w:lvl>
    <w:lvl w:ilvl="1" w:tplc="51D6E65A" w:tentative="1">
      <w:start w:val="1"/>
      <w:numFmt w:val="decimal"/>
      <w:lvlText w:val="%2."/>
      <w:lvlJc w:val="left"/>
      <w:pPr>
        <w:tabs>
          <w:tab w:val="num" w:pos="1440"/>
        </w:tabs>
        <w:ind w:left="1440" w:hanging="360"/>
      </w:pPr>
    </w:lvl>
    <w:lvl w:ilvl="2" w:tplc="A3903B9E" w:tentative="1">
      <w:start w:val="1"/>
      <w:numFmt w:val="decimal"/>
      <w:lvlText w:val="%3."/>
      <w:lvlJc w:val="left"/>
      <w:pPr>
        <w:tabs>
          <w:tab w:val="num" w:pos="2160"/>
        </w:tabs>
        <w:ind w:left="2160" w:hanging="360"/>
      </w:pPr>
    </w:lvl>
    <w:lvl w:ilvl="3" w:tplc="97423A32" w:tentative="1">
      <w:start w:val="1"/>
      <w:numFmt w:val="decimal"/>
      <w:lvlText w:val="%4."/>
      <w:lvlJc w:val="left"/>
      <w:pPr>
        <w:tabs>
          <w:tab w:val="num" w:pos="2880"/>
        </w:tabs>
        <w:ind w:left="2880" w:hanging="360"/>
      </w:pPr>
    </w:lvl>
    <w:lvl w:ilvl="4" w:tplc="FBD265C0" w:tentative="1">
      <w:start w:val="1"/>
      <w:numFmt w:val="decimal"/>
      <w:lvlText w:val="%5."/>
      <w:lvlJc w:val="left"/>
      <w:pPr>
        <w:tabs>
          <w:tab w:val="num" w:pos="3600"/>
        </w:tabs>
        <w:ind w:left="3600" w:hanging="360"/>
      </w:pPr>
    </w:lvl>
    <w:lvl w:ilvl="5" w:tplc="E444C848" w:tentative="1">
      <w:start w:val="1"/>
      <w:numFmt w:val="decimal"/>
      <w:lvlText w:val="%6."/>
      <w:lvlJc w:val="left"/>
      <w:pPr>
        <w:tabs>
          <w:tab w:val="num" w:pos="4320"/>
        </w:tabs>
        <w:ind w:left="4320" w:hanging="360"/>
      </w:pPr>
    </w:lvl>
    <w:lvl w:ilvl="6" w:tplc="172651D8" w:tentative="1">
      <w:start w:val="1"/>
      <w:numFmt w:val="decimal"/>
      <w:lvlText w:val="%7."/>
      <w:lvlJc w:val="left"/>
      <w:pPr>
        <w:tabs>
          <w:tab w:val="num" w:pos="5040"/>
        </w:tabs>
        <w:ind w:left="5040" w:hanging="360"/>
      </w:pPr>
    </w:lvl>
    <w:lvl w:ilvl="7" w:tplc="27E0076E" w:tentative="1">
      <w:start w:val="1"/>
      <w:numFmt w:val="decimal"/>
      <w:lvlText w:val="%8."/>
      <w:lvlJc w:val="left"/>
      <w:pPr>
        <w:tabs>
          <w:tab w:val="num" w:pos="5760"/>
        </w:tabs>
        <w:ind w:left="5760" w:hanging="360"/>
      </w:pPr>
    </w:lvl>
    <w:lvl w:ilvl="8" w:tplc="56DE1B8C" w:tentative="1">
      <w:start w:val="1"/>
      <w:numFmt w:val="decimal"/>
      <w:lvlText w:val="%9."/>
      <w:lvlJc w:val="left"/>
      <w:pPr>
        <w:tabs>
          <w:tab w:val="num" w:pos="6480"/>
        </w:tabs>
        <w:ind w:left="6480" w:hanging="360"/>
      </w:pPr>
    </w:lvl>
  </w:abstractNum>
  <w:abstractNum w:abstractNumId="155" w15:restartNumberingAfterBreak="0">
    <w:nsid w:val="7BAA6C51"/>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D6E2EBF"/>
    <w:multiLevelType w:val="hybridMultilevel"/>
    <w:tmpl w:val="2460FC80"/>
    <w:lvl w:ilvl="0" w:tplc="C72EC670">
      <w:numFmt w:val="bullet"/>
      <w:lvlText w:val="-"/>
      <w:lvlJc w:val="left"/>
      <w:pPr>
        <w:ind w:left="795" w:hanging="360"/>
      </w:pPr>
      <w:rPr>
        <w:rFonts w:ascii="Calibri" w:eastAsia="Times New Roman" w:hAnsi="Calibri" w:cs="Calibri" w:hint="default"/>
      </w:rPr>
    </w:lvl>
    <w:lvl w:ilvl="1" w:tplc="300A0003" w:tentative="1">
      <w:start w:val="1"/>
      <w:numFmt w:val="bullet"/>
      <w:lvlText w:val="o"/>
      <w:lvlJc w:val="left"/>
      <w:pPr>
        <w:ind w:left="1515" w:hanging="360"/>
      </w:pPr>
      <w:rPr>
        <w:rFonts w:ascii="Courier New" w:hAnsi="Courier New" w:cs="Courier New" w:hint="default"/>
      </w:rPr>
    </w:lvl>
    <w:lvl w:ilvl="2" w:tplc="300A0005" w:tentative="1">
      <w:start w:val="1"/>
      <w:numFmt w:val="bullet"/>
      <w:lvlText w:val=""/>
      <w:lvlJc w:val="left"/>
      <w:pPr>
        <w:ind w:left="2235" w:hanging="360"/>
      </w:pPr>
      <w:rPr>
        <w:rFonts w:ascii="Wingdings" w:hAnsi="Wingdings" w:hint="default"/>
      </w:rPr>
    </w:lvl>
    <w:lvl w:ilvl="3" w:tplc="300A0001" w:tentative="1">
      <w:start w:val="1"/>
      <w:numFmt w:val="bullet"/>
      <w:lvlText w:val=""/>
      <w:lvlJc w:val="left"/>
      <w:pPr>
        <w:ind w:left="2955" w:hanging="360"/>
      </w:pPr>
      <w:rPr>
        <w:rFonts w:ascii="Symbol" w:hAnsi="Symbol" w:hint="default"/>
      </w:rPr>
    </w:lvl>
    <w:lvl w:ilvl="4" w:tplc="300A0003" w:tentative="1">
      <w:start w:val="1"/>
      <w:numFmt w:val="bullet"/>
      <w:lvlText w:val="o"/>
      <w:lvlJc w:val="left"/>
      <w:pPr>
        <w:ind w:left="3675" w:hanging="360"/>
      </w:pPr>
      <w:rPr>
        <w:rFonts w:ascii="Courier New" w:hAnsi="Courier New" w:cs="Courier New" w:hint="default"/>
      </w:rPr>
    </w:lvl>
    <w:lvl w:ilvl="5" w:tplc="300A0005" w:tentative="1">
      <w:start w:val="1"/>
      <w:numFmt w:val="bullet"/>
      <w:lvlText w:val=""/>
      <w:lvlJc w:val="left"/>
      <w:pPr>
        <w:ind w:left="4395" w:hanging="360"/>
      </w:pPr>
      <w:rPr>
        <w:rFonts w:ascii="Wingdings" w:hAnsi="Wingdings" w:hint="default"/>
      </w:rPr>
    </w:lvl>
    <w:lvl w:ilvl="6" w:tplc="300A0001" w:tentative="1">
      <w:start w:val="1"/>
      <w:numFmt w:val="bullet"/>
      <w:lvlText w:val=""/>
      <w:lvlJc w:val="left"/>
      <w:pPr>
        <w:ind w:left="5115" w:hanging="360"/>
      </w:pPr>
      <w:rPr>
        <w:rFonts w:ascii="Symbol" w:hAnsi="Symbol" w:hint="default"/>
      </w:rPr>
    </w:lvl>
    <w:lvl w:ilvl="7" w:tplc="300A0003" w:tentative="1">
      <w:start w:val="1"/>
      <w:numFmt w:val="bullet"/>
      <w:lvlText w:val="o"/>
      <w:lvlJc w:val="left"/>
      <w:pPr>
        <w:ind w:left="5835" w:hanging="360"/>
      </w:pPr>
      <w:rPr>
        <w:rFonts w:ascii="Courier New" w:hAnsi="Courier New" w:cs="Courier New" w:hint="default"/>
      </w:rPr>
    </w:lvl>
    <w:lvl w:ilvl="8" w:tplc="300A0005" w:tentative="1">
      <w:start w:val="1"/>
      <w:numFmt w:val="bullet"/>
      <w:lvlText w:val=""/>
      <w:lvlJc w:val="left"/>
      <w:pPr>
        <w:ind w:left="6555" w:hanging="360"/>
      </w:pPr>
      <w:rPr>
        <w:rFonts w:ascii="Wingdings" w:hAnsi="Wingdings" w:hint="default"/>
      </w:rPr>
    </w:lvl>
  </w:abstractNum>
  <w:abstractNum w:abstractNumId="157" w15:restartNumberingAfterBreak="0">
    <w:nsid w:val="7D810E71"/>
    <w:multiLevelType w:val="hybridMultilevel"/>
    <w:tmpl w:val="5D3095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8" w15:restartNumberingAfterBreak="0">
    <w:nsid w:val="7E6C3EC2"/>
    <w:multiLevelType w:val="hybridMultilevel"/>
    <w:tmpl w:val="6E9E3506"/>
    <w:lvl w:ilvl="0" w:tplc="580A0017">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num w:numId="1" w16cid:durableId="2021153486">
    <w:abstractNumId w:val="136"/>
  </w:num>
  <w:num w:numId="2" w16cid:durableId="2114084961">
    <w:abstractNumId w:val="20"/>
  </w:num>
  <w:num w:numId="3" w16cid:durableId="2135054082">
    <w:abstractNumId w:val="73"/>
  </w:num>
  <w:num w:numId="4" w16cid:durableId="1402948974">
    <w:abstractNumId w:val="74"/>
  </w:num>
  <w:num w:numId="5" w16cid:durableId="784038595">
    <w:abstractNumId w:val="27"/>
  </w:num>
  <w:num w:numId="6" w16cid:durableId="89355060">
    <w:abstractNumId w:val="77"/>
  </w:num>
  <w:num w:numId="7" w16cid:durableId="1252161480">
    <w:abstractNumId w:val="10"/>
  </w:num>
  <w:num w:numId="8" w16cid:durableId="1086614370">
    <w:abstractNumId w:val="122"/>
  </w:num>
  <w:num w:numId="9" w16cid:durableId="1457262256">
    <w:abstractNumId w:val="43"/>
  </w:num>
  <w:num w:numId="10" w16cid:durableId="1620182434">
    <w:abstractNumId w:val="113"/>
  </w:num>
  <w:num w:numId="11" w16cid:durableId="381945575">
    <w:abstractNumId w:val="82"/>
  </w:num>
  <w:num w:numId="12" w16cid:durableId="1214585888">
    <w:abstractNumId w:val="13"/>
  </w:num>
  <w:num w:numId="13" w16cid:durableId="154272871">
    <w:abstractNumId w:val="11"/>
  </w:num>
  <w:num w:numId="14" w16cid:durableId="732390730">
    <w:abstractNumId w:val="6"/>
  </w:num>
  <w:num w:numId="15" w16cid:durableId="146553709">
    <w:abstractNumId w:val="17"/>
  </w:num>
  <w:num w:numId="16" w16cid:durableId="257757471">
    <w:abstractNumId w:val="118"/>
  </w:num>
  <w:num w:numId="17" w16cid:durableId="440802222">
    <w:abstractNumId w:val="135"/>
  </w:num>
  <w:num w:numId="18" w16cid:durableId="218246646">
    <w:abstractNumId w:val="64"/>
  </w:num>
  <w:num w:numId="19" w16cid:durableId="2110928393">
    <w:abstractNumId w:val="158"/>
  </w:num>
  <w:num w:numId="20" w16cid:durableId="147481383">
    <w:abstractNumId w:val="51"/>
  </w:num>
  <w:num w:numId="21" w16cid:durableId="2034574017">
    <w:abstractNumId w:val="19"/>
  </w:num>
  <w:num w:numId="22" w16cid:durableId="24723484">
    <w:abstractNumId w:val="47"/>
  </w:num>
  <w:num w:numId="23" w16cid:durableId="1501852879">
    <w:abstractNumId w:val="21"/>
  </w:num>
  <w:num w:numId="24" w16cid:durableId="1152483202">
    <w:abstractNumId w:val="98"/>
  </w:num>
  <w:num w:numId="25" w16cid:durableId="938756949">
    <w:abstractNumId w:val="100"/>
  </w:num>
  <w:num w:numId="26" w16cid:durableId="944968705">
    <w:abstractNumId w:val="25"/>
  </w:num>
  <w:num w:numId="27" w16cid:durableId="441610658">
    <w:abstractNumId w:val="4"/>
  </w:num>
  <w:num w:numId="28" w16cid:durableId="1194340322">
    <w:abstractNumId w:val="138"/>
  </w:num>
  <w:num w:numId="29" w16cid:durableId="9456895">
    <w:abstractNumId w:val="58"/>
  </w:num>
  <w:num w:numId="30" w16cid:durableId="1645424751">
    <w:abstractNumId w:val="128"/>
  </w:num>
  <w:num w:numId="31" w16cid:durableId="752320263">
    <w:abstractNumId w:val="0"/>
  </w:num>
  <w:num w:numId="32" w16cid:durableId="1354694776">
    <w:abstractNumId w:val="9"/>
  </w:num>
  <w:num w:numId="33" w16cid:durableId="1632855619">
    <w:abstractNumId w:val="12"/>
  </w:num>
  <w:num w:numId="34" w16cid:durableId="244384123">
    <w:abstractNumId w:val="157"/>
  </w:num>
  <w:num w:numId="35" w16cid:durableId="1092121105">
    <w:abstractNumId w:val="76"/>
  </w:num>
  <w:num w:numId="36" w16cid:durableId="2137334599">
    <w:abstractNumId w:val="3"/>
  </w:num>
  <w:num w:numId="37" w16cid:durableId="493377127">
    <w:abstractNumId w:val="147"/>
  </w:num>
  <w:num w:numId="38" w16cid:durableId="1076130852">
    <w:abstractNumId w:val="106"/>
  </w:num>
  <w:num w:numId="39" w16cid:durableId="911349337">
    <w:abstractNumId w:val="28"/>
  </w:num>
  <w:num w:numId="40" w16cid:durableId="197394529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22751057">
    <w:abstractNumId w:val="137"/>
  </w:num>
  <w:num w:numId="42" w16cid:durableId="1385568179">
    <w:abstractNumId w:val="124"/>
  </w:num>
  <w:num w:numId="43" w16cid:durableId="1012074013">
    <w:abstractNumId w:val="101"/>
  </w:num>
  <w:num w:numId="44" w16cid:durableId="909971293">
    <w:abstractNumId w:val="141"/>
  </w:num>
  <w:num w:numId="45" w16cid:durableId="387849794">
    <w:abstractNumId w:val="38"/>
  </w:num>
  <w:num w:numId="46" w16cid:durableId="695272746">
    <w:abstractNumId w:val="112"/>
  </w:num>
  <w:num w:numId="47" w16cid:durableId="1374845912">
    <w:abstractNumId w:val="1"/>
  </w:num>
  <w:num w:numId="48" w16cid:durableId="1511721120">
    <w:abstractNumId w:val="35"/>
  </w:num>
  <w:num w:numId="49" w16cid:durableId="1019431766">
    <w:abstractNumId w:val="151"/>
  </w:num>
  <w:num w:numId="50" w16cid:durableId="1427460566">
    <w:abstractNumId w:val="150"/>
  </w:num>
  <w:num w:numId="51" w16cid:durableId="1093089461">
    <w:abstractNumId w:val="53"/>
  </w:num>
  <w:num w:numId="52" w16cid:durableId="1988390880">
    <w:abstractNumId w:val="79"/>
  </w:num>
  <w:num w:numId="53" w16cid:durableId="1617985327">
    <w:abstractNumId w:val="2"/>
  </w:num>
  <w:num w:numId="54" w16cid:durableId="1691838074">
    <w:abstractNumId w:val="56"/>
  </w:num>
  <w:num w:numId="55" w16cid:durableId="362218373">
    <w:abstractNumId w:val="110"/>
  </w:num>
  <w:num w:numId="56" w16cid:durableId="1257402681">
    <w:abstractNumId w:val="145"/>
  </w:num>
  <w:num w:numId="57" w16cid:durableId="1707946381">
    <w:abstractNumId w:val="78"/>
  </w:num>
  <w:num w:numId="58" w16cid:durableId="507252922">
    <w:abstractNumId w:val="144"/>
  </w:num>
  <w:num w:numId="59" w16cid:durableId="1136410467">
    <w:abstractNumId w:val="44"/>
  </w:num>
  <w:num w:numId="60" w16cid:durableId="1500388610">
    <w:abstractNumId w:val="32"/>
  </w:num>
  <w:num w:numId="61" w16cid:durableId="502161001">
    <w:abstractNumId w:val="54"/>
  </w:num>
  <w:num w:numId="62" w16cid:durableId="803622109">
    <w:abstractNumId w:val="30"/>
  </w:num>
  <w:num w:numId="63" w16cid:durableId="2088065396">
    <w:abstractNumId w:val="120"/>
  </w:num>
  <w:num w:numId="64" w16cid:durableId="1576158793">
    <w:abstractNumId w:val="26"/>
  </w:num>
  <w:num w:numId="65" w16cid:durableId="1573545206">
    <w:abstractNumId w:val="108"/>
  </w:num>
  <w:num w:numId="66" w16cid:durableId="1851874883">
    <w:abstractNumId w:val="115"/>
  </w:num>
  <w:num w:numId="67" w16cid:durableId="37899470">
    <w:abstractNumId w:val="34"/>
  </w:num>
  <w:num w:numId="68" w16cid:durableId="1172061223">
    <w:abstractNumId w:val="16"/>
  </w:num>
  <w:num w:numId="69" w16cid:durableId="838889863">
    <w:abstractNumId w:val="39"/>
  </w:num>
  <w:num w:numId="70" w16cid:durableId="247739006">
    <w:abstractNumId w:val="52"/>
  </w:num>
  <w:num w:numId="71" w16cid:durableId="1630362007">
    <w:abstractNumId w:val="87"/>
  </w:num>
  <w:num w:numId="72" w16cid:durableId="1920751232">
    <w:abstractNumId w:val="62"/>
  </w:num>
  <w:num w:numId="73" w16cid:durableId="1891184603">
    <w:abstractNumId w:val="89"/>
  </w:num>
  <w:num w:numId="74" w16cid:durableId="1588272065">
    <w:abstractNumId w:val="49"/>
  </w:num>
  <w:num w:numId="75" w16cid:durableId="777263949">
    <w:abstractNumId w:val="133"/>
  </w:num>
  <w:num w:numId="76" w16cid:durableId="1094058138">
    <w:abstractNumId w:val="93"/>
  </w:num>
  <w:num w:numId="77" w16cid:durableId="1413160945">
    <w:abstractNumId w:val="83"/>
  </w:num>
  <w:num w:numId="78" w16cid:durableId="1817531671">
    <w:abstractNumId w:val="75"/>
  </w:num>
  <w:num w:numId="79" w16cid:durableId="1190871228">
    <w:abstractNumId w:val="68"/>
  </w:num>
  <w:num w:numId="80" w16cid:durableId="1936864445">
    <w:abstractNumId w:val="140"/>
  </w:num>
  <w:num w:numId="81" w16cid:durableId="1072461369">
    <w:abstractNumId w:val="91"/>
  </w:num>
  <w:num w:numId="82" w16cid:durableId="263080465">
    <w:abstractNumId w:val="123"/>
  </w:num>
  <w:num w:numId="83" w16cid:durableId="1559896191">
    <w:abstractNumId w:val="63"/>
  </w:num>
  <w:num w:numId="84" w16cid:durableId="2030646046">
    <w:abstractNumId w:val="86"/>
  </w:num>
  <w:num w:numId="85" w16cid:durableId="1873418369">
    <w:abstractNumId w:val="109"/>
  </w:num>
  <w:num w:numId="86" w16cid:durableId="2063208520">
    <w:abstractNumId w:val="22"/>
  </w:num>
  <w:num w:numId="87" w16cid:durableId="1400252898">
    <w:abstractNumId w:val="33"/>
  </w:num>
  <w:num w:numId="88" w16cid:durableId="1115566305">
    <w:abstractNumId w:val="48"/>
  </w:num>
  <w:num w:numId="89" w16cid:durableId="489558721">
    <w:abstractNumId w:val="125"/>
  </w:num>
  <w:num w:numId="90" w16cid:durableId="1991471858">
    <w:abstractNumId w:val="60"/>
  </w:num>
  <w:num w:numId="91" w16cid:durableId="312878808">
    <w:abstractNumId w:val="127"/>
  </w:num>
  <w:num w:numId="92" w16cid:durableId="33622532">
    <w:abstractNumId w:val="139"/>
  </w:num>
  <w:num w:numId="93" w16cid:durableId="231429298">
    <w:abstractNumId w:val="131"/>
  </w:num>
  <w:num w:numId="94" w16cid:durableId="862741039">
    <w:abstractNumId w:val="18"/>
  </w:num>
  <w:num w:numId="95" w16cid:durableId="1336955175">
    <w:abstractNumId w:val="15"/>
  </w:num>
  <w:num w:numId="96" w16cid:durableId="207232217">
    <w:abstractNumId w:val="130"/>
  </w:num>
  <w:num w:numId="97" w16cid:durableId="2134900923">
    <w:abstractNumId w:val="8"/>
  </w:num>
  <w:num w:numId="98" w16cid:durableId="769546083">
    <w:abstractNumId w:val="92"/>
  </w:num>
  <w:num w:numId="99" w16cid:durableId="322395481">
    <w:abstractNumId w:val="117"/>
  </w:num>
  <w:num w:numId="100" w16cid:durableId="1733045842">
    <w:abstractNumId w:val="80"/>
  </w:num>
  <w:num w:numId="101" w16cid:durableId="146089451">
    <w:abstractNumId w:val="31"/>
  </w:num>
  <w:num w:numId="102" w16cid:durableId="2105807491">
    <w:abstractNumId w:val="94"/>
  </w:num>
  <w:num w:numId="103" w16cid:durableId="97723247">
    <w:abstractNumId w:val="107"/>
  </w:num>
  <w:num w:numId="104" w16cid:durableId="1290359788">
    <w:abstractNumId w:val="126"/>
  </w:num>
  <w:num w:numId="105" w16cid:durableId="1329559080">
    <w:abstractNumId w:val="81"/>
  </w:num>
  <w:num w:numId="106" w16cid:durableId="178811022">
    <w:abstractNumId w:val="84"/>
  </w:num>
  <w:num w:numId="107" w16cid:durableId="1639341270">
    <w:abstractNumId w:val="116"/>
  </w:num>
  <w:num w:numId="108" w16cid:durableId="1791586537">
    <w:abstractNumId w:val="111"/>
  </w:num>
  <w:num w:numId="109" w16cid:durableId="864636794">
    <w:abstractNumId w:val="59"/>
  </w:num>
  <w:num w:numId="110" w16cid:durableId="1939482382">
    <w:abstractNumId w:val="121"/>
  </w:num>
  <w:num w:numId="111" w16cid:durableId="1695229049">
    <w:abstractNumId w:val="57"/>
  </w:num>
  <w:num w:numId="112" w16cid:durableId="510873689">
    <w:abstractNumId w:val="42"/>
  </w:num>
  <w:num w:numId="113" w16cid:durableId="1008171675">
    <w:abstractNumId w:val="134"/>
  </w:num>
  <w:num w:numId="114" w16cid:durableId="319505063">
    <w:abstractNumId w:val="105"/>
  </w:num>
  <w:num w:numId="115" w16cid:durableId="200855190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1106265716">
    <w:abstractNumId w:val="85"/>
  </w:num>
  <w:num w:numId="117" w16cid:durableId="202524887">
    <w:abstractNumId w:val="72"/>
  </w:num>
  <w:num w:numId="118" w16cid:durableId="951323730">
    <w:abstractNumId w:val="96"/>
  </w:num>
  <w:num w:numId="119" w16cid:durableId="1587961693">
    <w:abstractNumId w:val="103"/>
  </w:num>
  <w:num w:numId="120" w16cid:durableId="889149757">
    <w:abstractNumId w:val="90"/>
  </w:num>
  <w:num w:numId="121" w16cid:durableId="2000384320">
    <w:abstractNumId w:val="153"/>
  </w:num>
  <w:num w:numId="122" w16cid:durableId="460656279">
    <w:abstractNumId w:val="37"/>
  </w:num>
  <w:num w:numId="123" w16cid:durableId="1572353850">
    <w:abstractNumId w:val="148"/>
  </w:num>
  <w:num w:numId="124" w16cid:durableId="151797134">
    <w:abstractNumId w:val="29"/>
  </w:num>
  <w:num w:numId="125" w16cid:durableId="908996627">
    <w:abstractNumId w:val="97"/>
  </w:num>
  <w:num w:numId="126" w16cid:durableId="707606759">
    <w:abstractNumId w:val="119"/>
  </w:num>
  <w:num w:numId="127" w16cid:durableId="1401368405">
    <w:abstractNumId w:val="40"/>
  </w:num>
  <w:num w:numId="128" w16cid:durableId="788746194">
    <w:abstractNumId w:val="67"/>
  </w:num>
  <w:num w:numId="129" w16cid:durableId="1185484770">
    <w:abstractNumId w:val="114"/>
  </w:num>
  <w:num w:numId="130" w16cid:durableId="1586374681">
    <w:abstractNumId w:val="156"/>
  </w:num>
  <w:num w:numId="131" w16cid:durableId="1306543559">
    <w:abstractNumId w:val="50"/>
  </w:num>
  <w:num w:numId="132" w16cid:durableId="2092727614">
    <w:abstractNumId w:val="36"/>
  </w:num>
  <w:num w:numId="133" w16cid:durableId="648752066">
    <w:abstractNumId w:val="146"/>
  </w:num>
  <w:num w:numId="134" w16cid:durableId="695276838">
    <w:abstractNumId w:val="61"/>
  </w:num>
  <w:num w:numId="135" w16cid:durableId="1930888276">
    <w:abstractNumId w:val="88"/>
  </w:num>
  <w:num w:numId="136" w16cid:durableId="395277395">
    <w:abstractNumId w:val="55"/>
  </w:num>
  <w:num w:numId="137" w16cid:durableId="596720321">
    <w:abstractNumId w:val="154"/>
  </w:num>
  <w:num w:numId="138" w16cid:durableId="1202590557">
    <w:abstractNumId w:val="41"/>
  </w:num>
  <w:num w:numId="139" w16cid:durableId="42682760">
    <w:abstractNumId w:val="45"/>
  </w:num>
  <w:num w:numId="140" w16cid:durableId="242689192">
    <w:abstractNumId w:val="132"/>
  </w:num>
  <w:num w:numId="141" w16cid:durableId="931934642">
    <w:abstractNumId w:val="95"/>
  </w:num>
  <w:num w:numId="142" w16cid:durableId="1411075643">
    <w:abstractNumId w:val="5"/>
  </w:num>
  <w:num w:numId="143" w16cid:durableId="174930415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14119269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16cid:durableId="196026061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344326444">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65839087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2051147442">
    <w:abstractNumId w:val="66"/>
  </w:num>
  <w:num w:numId="149" w16cid:durableId="1146582546">
    <w:abstractNumId w:val="24"/>
  </w:num>
  <w:num w:numId="150" w16cid:durableId="343938194">
    <w:abstractNumId w:val="142"/>
  </w:num>
  <w:num w:numId="151" w16cid:durableId="72548806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655379119">
    <w:abstractNumId w:val="23"/>
  </w:num>
  <w:num w:numId="153" w16cid:durableId="1602762806">
    <w:abstractNumId w:val="143"/>
  </w:num>
  <w:num w:numId="154" w16cid:durableId="10633318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1988775615">
    <w:abstractNumId w:val="7"/>
  </w:num>
  <w:num w:numId="156" w16cid:durableId="460927562">
    <w:abstractNumId w:val="155"/>
  </w:num>
  <w:num w:numId="157" w16cid:durableId="1884361443">
    <w:abstractNumId w:val="46"/>
  </w:num>
  <w:num w:numId="158" w16cid:durableId="849562142">
    <w:abstractNumId w:val="99"/>
  </w:num>
  <w:num w:numId="159" w16cid:durableId="665673362">
    <w:abstractNumId w:val="14"/>
  </w:num>
  <w:num w:numId="160" w16cid:durableId="1225799339">
    <w:abstractNumId w:val="149"/>
  </w:num>
  <w:num w:numId="161" w16cid:durableId="264458568">
    <w:abstractNumId w:val="65"/>
  </w:num>
  <w:num w:numId="162" w16cid:durableId="1818297944">
    <w:abstractNumId w:val="70"/>
  </w:num>
  <w:num w:numId="163" w16cid:durableId="1266887694">
    <w:abstractNumId w:val="129"/>
  </w:num>
  <w:num w:numId="164" w16cid:durableId="1893225337">
    <w:abstractNumId w:val="69"/>
  </w:num>
  <w:num w:numId="165" w16cid:durableId="147509985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16cid:durableId="1505776001">
    <w:abstractNumId w:val="10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140E9"/>
    <w:rsid w:val="00023A2E"/>
    <w:rsid w:val="00050624"/>
    <w:rsid w:val="00054F86"/>
    <w:rsid w:val="000624B9"/>
    <w:rsid w:val="00064701"/>
    <w:rsid w:val="000733D3"/>
    <w:rsid w:val="000816A1"/>
    <w:rsid w:val="000B42CD"/>
    <w:rsid w:val="000D6A11"/>
    <w:rsid w:val="000E5879"/>
    <w:rsid w:val="00112D2C"/>
    <w:rsid w:val="001267DE"/>
    <w:rsid w:val="00133359"/>
    <w:rsid w:val="00137D0B"/>
    <w:rsid w:val="00160081"/>
    <w:rsid w:val="00160594"/>
    <w:rsid w:val="00162C2C"/>
    <w:rsid w:val="00170EC0"/>
    <w:rsid w:val="00185A7C"/>
    <w:rsid w:val="001B4D09"/>
    <w:rsid w:val="001C1361"/>
    <w:rsid w:val="001D3A17"/>
    <w:rsid w:val="00200002"/>
    <w:rsid w:val="00200AC3"/>
    <w:rsid w:val="00212342"/>
    <w:rsid w:val="00221BF3"/>
    <w:rsid w:val="00231723"/>
    <w:rsid w:val="00261B34"/>
    <w:rsid w:val="002673F0"/>
    <w:rsid w:val="00267626"/>
    <w:rsid w:val="00273886"/>
    <w:rsid w:val="0028323B"/>
    <w:rsid w:val="00294227"/>
    <w:rsid w:val="00297B08"/>
    <w:rsid w:val="002A0D3D"/>
    <w:rsid w:val="002C1193"/>
    <w:rsid w:val="002D3543"/>
    <w:rsid w:val="002D72D6"/>
    <w:rsid w:val="003223A8"/>
    <w:rsid w:val="003465B9"/>
    <w:rsid w:val="003825D6"/>
    <w:rsid w:val="003A40B2"/>
    <w:rsid w:val="003A6E84"/>
    <w:rsid w:val="003D1037"/>
    <w:rsid w:val="003E46CA"/>
    <w:rsid w:val="003E781D"/>
    <w:rsid w:val="003F435F"/>
    <w:rsid w:val="0040253E"/>
    <w:rsid w:val="00406E6C"/>
    <w:rsid w:val="004072B5"/>
    <w:rsid w:val="004265AB"/>
    <w:rsid w:val="00487E6E"/>
    <w:rsid w:val="004B58C5"/>
    <w:rsid w:val="004C35C3"/>
    <w:rsid w:val="004F04C9"/>
    <w:rsid w:val="005215F1"/>
    <w:rsid w:val="0052386E"/>
    <w:rsid w:val="00527157"/>
    <w:rsid w:val="00565D93"/>
    <w:rsid w:val="0057409B"/>
    <w:rsid w:val="005800D9"/>
    <w:rsid w:val="0059018B"/>
    <w:rsid w:val="005932E4"/>
    <w:rsid w:val="005B587A"/>
    <w:rsid w:val="005C17E2"/>
    <w:rsid w:val="005C7945"/>
    <w:rsid w:val="005F03FC"/>
    <w:rsid w:val="005F1A70"/>
    <w:rsid w:val="00611654"/>
    <w:rsid w:val="00616507"/>
    <w:rsid w:val="00620319"/>
    <w:rsid w:val="00665060"/>
    <w:rsid w:val="00666ED2"/>
    <w:rsid w:val="00667C23"/>
    <w:rsid w:val="006D21C2"/>
    <w:rsid w:val="006E0032"/>
    <w:rsid w:val="006E5991"/>
    <w:rsid w:val="00720137"/>
    <w:rsid w:val="007311AD"/>
    <w:rsid w:val="00731EA5"/>
    <w:rsid w:val="00747D3E"/>
    <w:rsid w:val="007506DF"/>
    <w:rsid w:val="00772CFF"/>
    <w:rsid w:val="00773050"/>
    <w:rsid w:val="00773826"/>
    <w:rsid w:val="007A425E"/>
    <w:rsid w:val="007A50B9"/>
    <w:rsid w:val="007B676F"/>
    <w:rsid w:val="007C17A8"/>
    <w:rsid w:val="007D6823"/>
    <w:rsid w:val="007E03D8"/>
    <w:rsid w:val="007F4EF0"/>
    <w:rsid w:val="00822B90"/>
    <w:rsid w:val="00831FC2"/>
    <w:rsid w:val="0083796E"/>
    <w:rsid w:val="0084124A"/>
    <w:rsid w:val="00842C38"/>
    <w:rsid w:val="00846052"/>
    <w:rsid w:val="008547D3"/>
    <w:rsid w:val="00867FBD"/>
    <w:rsid w:val="008C3FDF"/>
    <w:rsid w:val="008D37D7"/>
    <w:rsid w:val="008D4031"/>
    <w:rsid w:val="008F3E90"/>
    <w:rsid w:val="00941114"/>
    <w:rsid w:val="00950226"/>
    <w:rsid w:val="00957EA0"/>
    <w:rsid w:val="009856D4"/>
    <w:rsid w:val="00991A1F"/>
    <w:rsid w:val="00993F53"/>
    <w:rsid w:val="009962A7"/>
    <w:rsid w:val="009A28A5"/>
    <w:rsid w:val="009A4B25"/>
    <w:rsid w:val="009D3629"/>
    <w:rsid w:val="009E3EB0"/>
    <w:rsid w:val="00A141C3"/>
    <w:rsid w:val="00A24CF7"/>
    <w:rsid w:val="00A4029A"/>
    <w:rsid w:val="00A65D0D"/>
    <w:rsid w:val="00AB08BE"/>
    <w:rsid w:val="00AB3197"/>
    <w:rsid w:val="00AB44BD"/>
    <w:rsid w:val="00B23EA6"/>
    <w:rsid w:val="00B53FF7"/>
    <w:rsid w:val="00B55070"/>
    <w:rsid w:val="00B56306"/>
    <w:rsid w:val="00B56406"/>
    <w:rsid w:val="00B740FC"/>
    <w:rsid w:val="00B81F00"/>
    <w:rsid w:val="00BB281C"/>
    <w:rsid w:val="00BD166F"/>
    <w:rsid w:val="00BD560F"/>
    <w:rsid w:val="00BD74CD"/>
    <w:rsid w:val="00BE556B"/>
    <w:rsid w:val="00C1788F"/>
    <w:rsid w:val="00C41E2E"/>
    <w:rsid w:val="00C52B26"/>
    <w:rsid w:val="00C5545E"/>
    <w:rsid w:val="00C6709C"/>
    <w:rsid w:val="00C71996"/>
    <w:rsid w:val="00C857C0"/>
    <w:rsid w:val="00CA02A6"/>
    <w:rsid w:val="00CA6BFB"/>
    <w:rsid w:val="00CB18BC"/>
    <w:rsid w:val="00CD02F8"/>
    <w:rsid w:val="00CD45D0"/>
    <w:rsid w:val="00CD5DEE"/>
    <w:rsid w:val="00CE0424"/>
    <w:rsid w:val="00CF5E41"/>
    <w:rsid w:val="00D219D1"/>
    <w:rsid w:val="00D30264"/>
    <w:rsid w:val="00D31286"/>
    <w:rsid w:val="00D34E44"/>
    <w:rsid w:val="00D460D3"/>
    <w:rsid w:val="00D741D2"/>
    <w:rsid w:val="00D85D33"/>
    <w:rsid w:val="00D94DD9"/>
    <w:rsid w:val="00DA0AA3"/>
    <w:rsid w:val="00DA28D0"/>
    <w:rsid w:val="00DB6CF9"/>
    <w:rsid w:val="00DC7667"/>
    <w:rsid w:val="00E068EC"/>
    <w:rsid w:val="00E17298"/>
    <w:rsid w:val="00E2521F"/>
    <w:rsid w:val="00E71728"/>
    <w:rsid w:val="00E93F89"/>
    <w:rsid w:val="00EB74E1"/>
    <w:rsid w:val="00EF5E37"/>
    <w:rsid w:val="00F00C76"/>
    <w:rsid w:val="00F24662"/>
    <w:rsid w:val="00F25D38"/>
    <w:rsid w:val="00F3047B"/>
    <w:rsid w:val="00F3524A"/>
    <w:rsid w:val="00F753EE"/>
    <w:rsid w:val="00FB7B98"/>
    <w:rsid w:val="00FC0A5A"/>
    <w:rsid w:val="00FC7256"/>
    <w:rsid w:val="00FD2313"/>
    <w:rsid w:val="00FD37FF"/>
    <w:rsid w:val="00FF0A8C"/>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uiPriority w:val="9"/>
    <w:qFormat/>
    <w:rsid w:val="00D34E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D34E44"/>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unhideWhenUsed/>
    <w:qFormat/>
    <w:rsid w:val="00B23EA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DA0AA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D34E44"/>
    <w:pPr>
      <w:keepNext/>
      <w:keepLines/>
      <w:spacing w:before="80" w:after="40"/>
      <w:outlineLvl w:val="4"/>
    </w:pPr>
    <w:rPr>
      <w:rFonts w:eastAsiaTheme="majorEastAsia" w:cstheme="majorBidi"/>
      <w:color w:val="2E74B5" w:themeColor="accent1" w:themeShade="BF"/>
    </w:rPr>
  </w:style>
  <w:style w:type="paragraph" w:styleId="Ttulo6">
    <w:name w:val="heading 6"/>
    <w:basedOn w:val="Normal"/>
    <w:next w:val="Normal"/>
    <w:link w:val="Ttulo6Car"/>
    <w:uiPriority w:val="9"/>
    <w:unhideWhenUsed/>
    <w:qFormat/>
    <w:rsid w:val="00D34E4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D34E4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D34E4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D34E4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character" w:customStyle="1" w:styleId="Ttulo3Car">
    <w:name w:val="Título 3 Car"/>
    <w:basedOn w:val="Fuentedeprrafopredeter"/>
    <w:link w:val="Ttulo3"/>
    <w:uiPriority w:val="9"/>
    <w:rsid w:val="00B23EA6"/>
    <w:rPr>
      <w:rFonts w:asciiTheme="majorHAnsi" w:eastAsiaTheme="majorEastAsia" w:hAnsiTheme="majorHAnsi" w:cstheme="majorBidi"/>
      <w:color w:val="1F4D78" w:themeColor="accent1" w:themeShade="7F"/>
      <w:lang w:val="es-EC"/>
    </w:rPr>
  </w:style>
  <w:style w:type="paragraph" w:styleId="NormalWeb">
    <w:name w:val="Normal (Web)"/>
    <w:basedOn w:val="Normal"/>
    <w:link w:val="NormalWebCar"/>
    <w:uiPriority w:val="99"/>
    <w:unhideWhenUsed/>
    <w:qFormat/>
    <w:rsid w:val="00B23EA6"/>
    <w:rPr>
      <w:rFonts w:ascii="Times New Roman" w:hAnsi="Times New Roman" w:cs="Times New Roman"/>
      <w:sz w:val="24"/>
      <w:szCs w:val="24"/>
    </w:rPr>
  </w:style>
  <w:style w:type="character" w:customStyle="1" w:styleId="Ttulo4Car">
    <w:name w:val="Título 4 Car"/>
    <w:basedOn w:val="Fuentedeprrafopredeter"/>
    <w:link w:val="Ttulo4"/>
    <w:uiPriority w:val="9"/>
    <w:semiHidden/>
    <w:rsid w:val="00DA0AA3"/>
    <w:rPr>
      <w:rFonts w:asciiTheme="majorHAnsi" w:eastAsiaTheme="majorEastAsia" w:hAnsiTheme="majorHAnsi" w:cstheme="majorBidi"/>
      <w:i/>
      <w:iCs/>
      <w:color w:val="2E74B5" w:themeColor="accent1" w:themeShade="BF"/>
      <w:sz w:val="22"/>
      <w:szCs w:val="22"/>
      <w:lang w:val="es-EC"/>
    </w:rPr>
  </w:style>
  <w:style w:type="character" w:customStyle="1" w:styleId="Ttulo1Car">
    <w:name w:val="Título 1 Car"/>
    <w:basedOn w:val="Fuentedeprrafopredeter"/>
    <w:link w:val="Ttulo1"/>
    <w:uiPriority w:val="9"/>
    <w:qFormat/>
    <w:rsid w:val="00D34E44"/>
    <w:rPr>
      <w:rFonts w:asciiTheme="majorHAnsi" w:eastAsiaTheme="majorEastAsia" w:hAnsiTheme="majorHAnsi" w:cstheme="majorBidi"/>
      <w:color w:val="2E74B5" w:themeColor="accent1" w:themeShade="BF"/>
      <w:sz w:val="32"/>
      <w:szCs w:val="32"/>
      <w:lang w:val="es-EC"/>
    </w:rPr>
  </w:style>
  <w:style w:type="character" w:customStyle="1" w:styleId="Ttulo2Car">
    <w:name w:val="Título 2 Car"/>
    <w:basedOn w:val="Fuentedeprrafopredeter"/>
    <w:link w:val="Ttulo2"/>
    <w:uiPriority w:val="9"/>
    <w:rsid w:val="00D34E44"/>
    <w:rPr>
      <w:rFonts w:asciiTheme="majorHAnsi" w:eastAsiaTheme="majorEastAsia" w:hAnsiTheme="majorHAnsi" w:cstheme="majorBidi"/>
      <w:color w:val="2E74B5" w:themeColor="accent1" w:themeShade="BF"/>
      <w:sz w:val="32"/>
      <w:szCs w:val="32"/>
      <w:lang w:val="es-EC"/>
    </w:rPr>
  </w:style>
  <w:style w:type="character" w:customStyle="1" w:styleId="Ttulo5Car">
    <w:name w:val="Título 5 Car"/>
    <w:basedOn w:val="Fuentedeprrafopredeter"/>
    <w:link w:val="Ttulo5"/>
    <w:uiPriority w:val="9"/>
    <w:rsid w:val="00D34E44"/>
    <w:rPr>
      <w:rFonts w:eastAsiaTheme="majorEastAsia" w:cstheme="majorBidi"/>
      <w:color w:val="2E74B5" w:themeColor="accent1" w:themeShade="BF"/>
      <w:sz w:val="22"/>
      <w:szCs w:val="22"/>
      <w:lang w:val="es-EC"/>
    </w:rPr>
  </w:style>
  <w:style w:type="character" w:customStyle="1" w:styleId="Ttulo6Car">
    <w:name w:val="Título 6 Car"/>
    <w:basedOn w:val="Fuentedeprrafopredeter"/>
    <w:link w:val="Ttulo6"/>
    <w:uiPriority w:val="9"/>
    <w:rsid w:val="00D34E44"/>
    <w:rPr>
      <w:rFonts w:eastAsiaTheme="majorEastAsia" w:cstheme="majorBidi"/>
      <w:i/>
      <w:iCs/>
      <w:color w:val="595959" w:themeColor="text1" w:themeTint="A6"/>
      <w:sz w:val="22"/>
      <w:szCs w:val="22"/>
      <w:lang w:val="es-EC"/>
    </w:rPr>
  </w:style>
  <w:style w:type="character" w:customStyle="1" w:styleId="Ttulo7Car">
    <w:name w:val="Título 7 Car"/>
    <w:basedOn w:val="Fuentedeprrafopredeter"/>
    <w:link w:val="Ttulo7"/>
    <w:uiPriority w:val="9"/>
    <w:rsid w:val="00D34E44"/>
    <w:rPr>
      <w:rFonts w:eastAsiaTheme="majorEastAsia" w:cstheme="majorBidi"/>
      <w:color w:val="595959" w:themeColor="text1" w:themeTint="A6"/>
      <w:sz w:val="22"/>
      <w:szCs w:val="22"/>
      <w:lang w:val="es-EC"/>
    </w:rPr>
  </w:style>
  <w:style w:type="character" w:customStyle="1" w:styleId="Ttulo8Car">
    <w:name w:val="Título 8 Car"/>
    <w:basedOn w:val="Fuentedeprrafopredeter"/>
    <w:link w:val="Ttulo8"/>
    <w:uiPriority w:val="9"/>
    <w:rsid w:val="00D34E44"/>
    <w:rPr>
      <w:rFonts w:eastAsiaTheme="majorEastAsia" w:cstheme="majorBidi"/>
      <w:i/>
      <w:iCs/>
      <w:color w:val="272727" w:themeColor="text1" w:themeTint="D8"/>
      <w:sz w:val="22"/>
      <w:szCs w:val="22"/>
      <w:lang w:val="es-EC"/>
    </w:rPr>
  </w:style>
  <w:style w:type="character" w:customStyle="1" w:styleId="Ttulo9Car">
    <w:name w:val="Título 9 Car"/>
    <w:basedOn w:val="Fuentedeprrafopredeter"/>
    <w:link w:val="Ttulo9"/>
    <w:uiPriority w:val="9"/>
    <w:rsid w:val="00D34E44"/>
    <w:rPr>
      <w:rFonts w:eastAsiaTheme="majorEastAsia" w:cstheme="majorBidi"/>
      <w:color w:val="272727" w:themeColor="text1" w:themeTint="D8"/>
      <w:sz w:val="22"/>
      <w:szCs w:val="22"/>
      <w:lang w:val="es-EC"/>
    </w:rPr>
  </w:style>
  <w:style w:type="paragraph" w:styleId="Ttulo">
    <w:name w:val="Title"/>
    <w:basedOn w:val="Normal"/>
    <w:next w:val="Normal"/>
    <w:link w:val="TtuloCar"/>
    <w:uiPriority w:val="10"/>
    <w:qFormat/>
    <w:rsid w:val="00D34E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34E44"/>
    <w:rPr>
      <w:rFonts w:asciiTheme="majorHAnsi" w:eastAsiaTheme="majorEastAsia" w:hAnsiTheme="majorHAnsi" w:cstheme="majorBidi"/>
      <w:spacing w:val="-10"/>
      <w:kern w:val="28"/>
      <w:sz w:val="56"/>
      <w:szCs w:val="56"/>
      <w:lang w:val="es-EC"/>
    </w:rPr>
  </w:style>
  <w:style w:type="paragraph" w:styleId="Subttulo">
    <w:name w:val="Subtitle"/>
    <w:basedOn w:val="Normal"/>
    <w:next w:val="Normal"/>
    <w:link w:val="SubttuloCar"/>
    <w:uiPriority w:val="11"/>
    <w:qFormat/>
    <w:rsid w:val="00D34E4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34E44"/>
    <w:rPr>
      <w:rFonts w:eastAsiaTheme="majorEastAsia" w:cstheme="majorBidi"/>
      <w:color w:val="595959" w:themeColor="text1" w:themeTint="A6"/>
      <w:spacing w:val="15"/>
      <w:sz w:val="28"/>
      <w:szCs w:val="28"/>
      <w:lang w:val="es-EC"/>
    </w:rPr>
  </w:style>
  <w:style w:type="paragraph" w:styleId="Cita">
    <w:name w:val="Quote"/>
    <w:basedOn w:val="Normal"/>
    <w:next w:val="Normal"/>
    <w:link w:val="CitaCar"/>
    <w:uiPriority w:val="29"/>
    <w:qFormat/>
    <w:rsid w:val="00D34E44"/>
    <w:pPr>
      <w:spacing w:before="160"/>
      <w:jc w:val="center"/>
    </w:pPr>
    <w:rPr>
      <w:i/>
      <w:iCs/>
      <w:color w:val="404040" w:themeColor="text1" w:themeTint="BF"/>
    </w:rPr>
  </w:style>
  <w:style w:type="character" w:customStyle="1" w:styleId="CitaCar">
    <w:name w:val="Cita Car"/>
    <w:basedOn w:val="Fuentedeprrafopredeter"/>
    <w:link w:val="Cita"/>
    <w:uiPriority w:val="29"/>
    <w:rsid w:val="00D34E44"/>
    <w:rPr>
      <w:i/>
      <w:iCs/>
      <w:color w:val="404040" w:themeColor="text1" w:themeTint="BF"/>
      <w:sz w:val="22"/>
      <w:szCs w:val="22"/>
      <w:lang w:val="es-EC"/>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34"/>
    <w:qFormat/>
    <w:rsid w:val="00D34E44"/>
    <w:pPr>
      <w:ind w:left="720"/>
      <w:contextualSpacing/>
    </w:pPr>
  </w:style>
  <w:style w:type="character" w:styleId="nfasisintenso">
    <w:name w:val="Intense Emphasis"/>
    <w:basedOn w:val="Fuentedeprrafopredeter"/>
    <w:uiPriority w:val="21"/>
    <w:qFormat/>
    <w:rsid w:val="00D34E44"/>
    <w:rPr>
      <w:i/>
      <w:iCs/>
      <w:color w:val="2E74B5" w:themeColor="accent1" w:themeShade="BF"/>
    </w:rPr>
  </w:style>
  <w:style w:type="paragraph" w:styleId="Citadestacada">
    <w:name w:val="Intense Quote"/>
    <w:basedOn w:val="Normal"/>
    <w:next w:val="Normal"/>
    <w:link w:val="CitadestacadaCar"/>
    <w:uiPriority w:val="30"/>
    <w:qFormat/>
    <w:rsid w:val="00D34E4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destacadaCar">
    <w:name w:val="Cita destacada Car"/>
    <w:basedOn w:val="Fuentedeprrafopredeter"/>
    <w:link w:val="Citadestacada"/>
    <w:uiPriority w:val="30"/>
    <w:rsid w:val="00D34E44"/>
    <w:rPr>
      <w:i/>
      <w:iCs/>
      <w:color w:val="2E74B5" w:themeColor="accent1" w:themeShade="BF"/>
      <w:sz w:val="22"/>
      <w:szCs w:val="22"/>
      <w:lang w:val="es-EC"/>
    </w:rPr>
  </w:style>
  <w:style w:type="character" w:styleId="Referenciaintensa">
    <w:name w:val="Intense Reference"/>
    <w:basedOn w:val="Fuentedeprrafopredeter"/>
    <w:uiPriority w:val="32"/>
    <w:qFormat/>
    <w:rsid w:val="00D34E44"/>
    <w:rPr>
      <w:b/>
      <w:bCs/>
      <w:smallCaps/>
      <w:color w:val="2E74B5" w:themeColor="accent1" w:themeShade="BF"/>
      <w:spacing w:val="5"/>
    </w:rPr>
  </w:style>
  <w:style w:type="paragraph" w:customStyle="1" w:styleId="Default">
    <w:name w:val="Default"/>
    <w:qFormat/>
    <w:rsid w:val="00D34E44"/>
    <w:rPr>
      <w:rFonts w:ascii="Arial" w:eastAsia="SimSun" w:hAnsi="Arial" w:cs="Arial"/>
      <w:color w:val="000000"/>
      <w:lang w:val="es-EC" w:eastAsia="es-EC"/>
    </w:rPr>
  </w:style>
  <w:style w:type="paragraph" w:customStyle="1" w:styleId="LO-normal">
    <w:name w:val="LO-normal"/>
    <w:qFormat/>
    <w:rsid w:val="00D34E44"/>
    <w:pPr>
      <w:spacing w:after="160" w:line="259" w:lineRule="auto"/>
      <w:jc w:val="both"/>
    </w:pPr>
    <w:rPr>
      <w:rFonts w:ascii="Arial" w:eastAsia="Arial" w:hAnsi="Arial" w:cs="Arial"/>
      <w:color w:val="00000A"/>
      <w:sz w:val="20"/>
      <w:szCs w:val="20"/>
      <w:lang w:val="es-EC" w:eastAsia="es-ES"/>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34"/>
    <w:qFormat/>
    <w:rsid w:val="00D34E44"/>
    <w:rPr>
      <w:sz w:val="22"/>
      <w:szCs w:val="22"/>
      <w:lang w:val="es-EC"/>
    </w:rPr>
  </w:style>
  <w:style w:type="character" w:customStyle="1" w:styleId="Fuentedeprrafopredeter2">
    <w:name w:val="Fuente de párrafo predeter.2"/>
    <w:qFormat/>
    <w:rsid w:val="00D34E44"/>
  </w:style>
  <w:style w:type="character" w:customStyle="1" w:styleId="NormalWebCar">
    <w:name w:val="Normal (Web) Car"/>
    <w:link w:val="NormalWeb"/>
    <w:uiPriority w:val="99"/>
    <w:rsid w:val="00D34E44"/>
    <w:rPr>
      <w:rFonts w:ascii="Times New Roman" w:hAnsi="Times New Roman" w:cs="Times New Roman"/>
      <w:lang w:val="es-EC"/>
    </w:rPr>
  </w:style>
  <w:style w:type="paragraph" w:styleId="Textoindependiente">
    <w:name w:val="Body Text"/>
    <w:basedOn w:val="Normal"/>
    <w:link w:val="TextoindependienteCar"/>
    <w:qFormat/>
    <w:rsid w:val="00D34E44"/>
    <w:pPr>
      <w:widowControl w:val="0"/>
      <w:autoSpaceDE w:val="0"/>
      <w:autoSpaceDN w:val="0"/>
      <w:spacing w:after="0" w:line="240" w:lineRule="auto"/>
    </w:pPr>
    <w:rPr>
      <w:rFonts w:ascii="Arial MT" w:eastAsia="Arial MT" w:hAnsi="Arial MT" w:cs="Arial MT"/>
      <w:sz w:val="20"/>
      <w:szCs w:val="20"/>
      <w:lang w:val="es-ES"/>
    </w:rPr>
  </w:style>
  <w:style w:type="character" w:customStyle="1" w:styleId="TextoindependienteCar">
    <w:name w:val="Texto independiente Car"/>
    <w:basedOn w:val="Fuentedeprrafopredeter"/>
    <w:link w:val="Textoindependiente"/>
    <w:rsid w:val="00D34E44"/>
    <w:rPr>
      <w:rFonts w:ascii="Arial MT" w:eastAsia="Arial MT" w:hAnsi="Arial MT" w:cs="Arial MT"/>
      <w:sz w:val="20"/>
      <w:szCs w:val="20"/>
      <w:lang w:val="es-ES"/>
    </w:rPr>
  </w:style>
  <w:style w:type="table" w:customStyle="1" w:styleId="TableNormal">
    <w:name w:val="Table Normal"/>
    <w:semiHidden/>
    <w:unhideWhenUsed/>
    <w:qFormat/>
    <w:rsid w:val="00D34E44"/>
    <w:pPr>
      <w:widowControl w:val="0"/>
      <w:autoSpaceDE w:val="0"/>
      <w:autoSpaceDN w:val="0"/>
    </w:pPr>
    <w:rPr>
      <w:rFonts w:eastAsia="SimSun"/>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34E44"/>
    <w:pPr>
      <w:widowControl w:val="0"/>
      <w:autoSpaceDE w:val="0"/>
      <w:autoSpaceDN w:val="0"/>
      <w:spacing w:after="0" w:line="240" w:lineRule="auto"/>
    </w:pPr>
    <w:rPr>
      <w:rFonts w:ascii="Arial MT" w:eastAsia="Arial MT" w:hAnsi="Arial MT" w:cs="Arial MT"/>
      <w:lang w:val="es-ES"/>
    </w:rPr>
  </w:style>
  <w:style w:type="paragraph" w:styleId="Revisin">
    <w:name w:val="Revision"/>
    <w:hidden/>
    <w:uiPriority w:val="99"/>
    <w:semiHidden/>
    <w:rsid w:val="00D34E44"/>
    <w:rPr>
      <w:rFonts w:ascii="Arial MT" w:eastAsia="Arial MT" w:hAnsi="Arial MT" w:cs="Arial MT"/>
      <w:sz w:val="22"/>
      <w:szCs w:val="22"/>
      <w:lang w:val="es-ES"/>
    </w:rPr>
  </w:style>
  <w:style w:type="paragraph" w:styleId="Textoindependiente2">
    <w:name w:val="Body Text 2"/>
    <w:basedOn w:val="Normal"/>
    <w:link w:val="Textoindependiente2Car"/>
    <w:uiPriority w:val="99"/>
    <w:unhideWhenUsed/>
    <w:rsid w:val="00D34E44"/>
    <w:pPr>
      <w:widowControl w:val="0"/>
      <w:autoSpaceDE w:val="0"/>
      <w:autoSpaceDN w:val="0"/>
      <w:spacing w:after="120" w:line="480" w:lineRule="auto"/>
    </w:pPr>
    <w:rPr>
      <w:rFonts w:ascii="Arial MT" w:eastAsia="Arial MT" w:hAnsi="Arial MT" w:cs="Arial MT"/>
      <w:lang w:val="es-ES"/>
    </w:rPr>
  </w:style>
  <w:style w:type="character" w:customStyle="1" w:styleId="Textoindependiente2Car">
    <w:name w:val="Texto independiente 2 Car"/>
    <w:basedOn w:val="Fuentedeprrafopredeter"/>
    <w:link w:val="Textoindependiente2"/>
    <w:uiPriority w:val="99"/>
    <w:rsid w:val="00D34E44"/>
    <w:rPr>
      <w:rFonts w:ascii="Arial MT" w:eastAsia="Arial MT" w:hAnsi="Arial MT" w:cs="Arial MT"/>
      <w:sz w:val="22"/>
      <w:szCs w:val="22"/>
      <w:lang w:val="es-ES"/>
    </w:rPr>
  </w:style>
  <w:style w:type="character" w:styleId="Refdecomentario">
    <w:name w:val="annotation reference"/>
    <w:basedOn w:val="Fuentedeprrafopredeter"/>
    <w:uiPriority w:val="99"/>
    <w:semiHidden/>
    <w:unhideWhenUsed/>
    <w:rsid w:val="00D34E44"/>
    <w:rPr>
      <w:sz w:val="16"/>
      <w:szCs w:val="16"/>
    </w:rPr>
  </w:style>
  <w:style w:type="paragraph" w:styleId="Textocomentario">
    <w:name w:val="annotation text"/>
    <w:basedOn w:val="Normal"/>
    <w:link w:val="TextocomentarioCar"/>
    <w:uiPriority w:val="99"/>
    <w:unhideWhenUsed/>
    <w:rsid w:val="00D34E44"/>
    <w:pPr>
      <w:widowControl w:val="0"/>
      <w:autoSpaceDE w:val="0"/>
      <w:autoSpaceDN w:val="0"/>
      <w:spacing w:after="0" w:line="240" w:lineRule="auto"/>
    </w:pPr>
    <w:rPr>
      <w:rFonts w:ascii="Arial MT" w:eastAsia="Arial MT" w:hAnsi="Arial MT" w:cs="Arial MT"/>
      <w:sz w:val="20"/>
      <w:szCs w:val="20"/>
      <w:lang w:val="es-ES"/>
    </w:rPr>
  </w:style>
  <w:style w:type="character" w:customStyle="1" w:styleId="TextocomentarioCar">
    <w:name w:val="Texto comentario Car"/>
    <w:basedOn w:val="Fuentedeprrafopredeter"/>
    <w:link w:val="Textocomentario"/>
    <w:uiPriority w:val="99"/>
    <w:rsid w:val="00D34E44"/>
    <w:rPr>
      <w:rFonts w:ascii="Arial MT" w:eastAsia="Arial MT" w:hAnsi="Arial MT" w:cs="Arial MT"/>
      <w:sz w:val="20"/>
      <w:szCs w:val="20"/>
      <w:lang w:val="es-ES"/>
    </w:rPr>
  </w:style>
  <w:style w:type="paragraph" w:styleId="Asuntodelcomentario">
    <w:name w:val="annotation subject"/>
    <w:basedOn w:val="Textocomentario"/>
    <w:next w:val="Textocomentario"/>
    <w:link w:val="AsuntodelcomentarioCar"/>
    <w:uiPriority w:val="99"/>
    <w:unhideWhenUsed/>
    <w:rsid w:val="00D34E44"/>
    <w:rPr>
      <w:b/>
      <w:bCs/>
    </w:rPr>
  </w:style>
  <w:style w:type="character" w:customStyle="1" w:styleId="AsuntodelcomentarioCar">
    <w:name w:val="Asunto del comentario Car"/>
    <w:basedOn w:val="TextocomentarioCar"/>
    <w:link w:val="Asuntodelcomentario"/>
    <w:uiPriority w:val="99"/>
    <w:rsid w:val="00D34E44"/>
    <w:rPr>
      <w:rFonts w:ascii="Arial MT" w:eastAsia="Arial MT" w:hAnsi="Arial MT" w:cs="Arial MT"/>
      <w:b/>
      <w:bCs/>
      <w:sz w:val="20"/>
      <w:szCs w:val="20"/>
      <w:lang w:val="es-ES"/>
    </w:rPr>
  </w:style>
  <w:style w:type="character" w:customStyle="1" w:styleId="WW8Num1z0">
    <w:name w:val="WW8Num1z0"/>
    <w:rsid w:val="00D34E44"/>
    <w:rPr>
      <w:rFonts w:ascii="Symbol" w:hAnsi="Symbol" w:cs="Symbol" w:hint="default"/>
    </w:rPr>
  </w:style>
  <w:style w:type="character" w:customStyle="1" w:styleId="WW8Num1z1">
    <w:name w:val="WW8Num1z1"/>
    <w:rsid w:val="00D34E44"/>
    <w:rPr>
      <w:rFonts w:ascii="Courier New" w:hAnsi="Courier New" w:cs="Courier New" w:hint="default"/>
    </w:rPr>
  </w:style>
  <w:style w:type="character" w:customStyle="1" w:styleId="WW8Num1z2">
    <w:name w:val="WW8Num1z2"/>
    <w:rsid w:val="00D34E44"/>
    <w:rPr>
      <w:rFonts w:ascii="Wingdings" w:hAnsi="Wingdings" w:cs="Wingdings" w:hint="default"/>
    </w:rPr>
  </w:style>
  <w:style w:type="character" w:customStyle="1" w:styleId="WW8Num2z0">
    <w:name w:val="WW8Num2z0"/>
    <w:rsid w:val="00D34E44"/>
    <w:rPr>
      <w:rFonts w:hint="default"/>
    </w:rPr>
  </w:style>
  <w:style w:type="character" w:customStyle="1" w:styleId="WW8Num2z1">
    <w:name w:val="WW8Num2z1"/>
    <w:rsid w:val="00D34E44"/>
  </w:style>
  <w:style w:type="character" w:customStyle="1" w:styleId="WW8Num2z2">
    <w:name w:val="WW8Num2z2"/>
    <w:rsid w:val="00D34E44"/>
  </w:style>
  <w:style w:type="character" w:customStyle="1" w:styleId="WW8Num2z3">
    <w:name w:val="WW8Num2z3"/>
    <w:rsid w:val="00D34E44"/>
  </w:style>
  <w:style w:type="character" w:customStyle="1" w:styleId="WW8Num2z4">
    <w:name w:val="WW8Num2z4"/>
    <w:rsid w:val="00D34E44"/>
  </w:style>
  <w:style w:type="character" w:customStyle="1" w:styleId="WW8Num2z5">
    <w:name w:val="WW8Num2z5"/>
    <w:rsid w:val="00D34E44"/>
  </w:style>
  <w:style w:type="character" w:customStyle="1" w:styleId="WW8Num2z6">
    <w:name w:val="WW8Num2z6"/>
    <w:rsid w:val="00D34E44"/>
  </w:style>
  <w:style w:type="character" w:customStyle="1" w:styleId="WW8Num2z7">
    <w:name w:val="WW8Num2z7"/>
    <w:rsid w:val="00D34E44"/>
  </w:style>
  <w:style w:type="character" w:customStyle="1" w:styleId="WW8Num2z8">
    <w:name w:val="WW8Num2z8"/>
    <w:rsid w:val="00D34E44"/>
  </w:style>
  <w:style w:type="character" w:customStyle="1" w:styleId="WW8Num3z0">
    <w:name w:val="WW8Num3z0"/>
    <w:rsid w:val="00D34E44"/>
    <w:rPr>
      <w:rFonts w:ascii="Symbol" w:hAnsi="Symbol" w:cs="Symbol" w:hint="default"/>
    </w:rPr>
  </w:style>
  <w:style w:type="character" w:customStyle="1" w:styleId="WW8Num3z1">
    <w:name w:val="WW8Num3z1"/>
    <w:rsid w:val="00D34E44"/>
    <w:rPr>
      <w:rFonts w:ascii="Courier New" w:hAnsi="Courier New" w:cs="Courier New" w:hint="default"/>
    </w:rPr>
  </w:style>
  <w:style w:type="character" w:customStyle="1" w:styleId="WW8Num3z2">
    <w:name w:val="WW8Num3z2"/>
    <w:rsid w:val="00D34E44"/>
    <w:rPr>
      <w:rFonts w:ascii="Wingdings" w:hAnsi="Wingdings" w:cs="Wingdings" w:hint="default"/>
    </w:rPr>
  </w:style>
  <w:style w:type="character" w:customStyle="1" w:styleId="WW8Num4z0">
    <w:name w:val="WW8Num4z0"/>
    <w:rsid w:val="00D34E44"/>
    <w:rPr>
      <w:rFonts w:ascii="Symbol" w:hAnsi="Symbol" w:cs="Symbol" w:hint="default"/>
    </w:rPr>
  </w:style>
  <w:style w:type="character" w:customStyle="1" w:styleId="WW8Num4z1">
    <w:name w:val="WW8Num4z1"/>
    <w:rsid w:val="00D34E44"/>
    <w:rPr>
      <w:rFonts w:ascii="Courier New" w:hAnsi="Courier New" w:cs="Courier New" w:hint="default"/>
    </w:rPr>
  </w:style>
  <w:style w:type="character" w:customStyle="1" w:styleId="WW8Num4z2">
    <w:name w:val="WW8Num4z2"/>
    <w:rsid w:val="00D34E44"/>
    <w:rPr>
      <w:rFonts w:ascii="Wingdings" w:hAnsi="Wingdings" w:cs="Wingdings" w:hint="default"/>
    </w:rPr>
  </w:style>
  <w:style w:type="character" w:customStyle="1" w:styleId="WW8Num5z0">
    <w:name w:val="WW8Num5z0"/>
    <w:rsid w:val="00D34E44"/>
    <w:rPr>
      <w:rFonts w:hint="default"/>
    </w:rPr>
  </w:style>
  <w:style w:type="character" w:customStyle="1" w:styleId="WW8Num5z1">
    <w:name w:val="WW8Num5z1"/>
    <w:rsid w:val="00D34E44"/>
  </w:style>
  <w:style w:type="character" w:customStyle="1" w:styleId="WW8Num5z2">
    <w:name w:val="WW8Num5z2"/>
    <w:rsid w:val="00D34E44"/>
  </w:style>
  <w:style w:type="character" w:customStyle="1" w:styleId="WW8Num5z3">
    <w:name w:val="WW8Num5z3"/>
    <w:rsid w:val="00D34E44"/>
  </w:style>
  <w:style w:type="character" w:customStyle="1" w:styleId="WW8Num5z4">
    <w:name w:val="WW8Num5z4"/>
    <w:rsid w:val="00D34E44"/>
  </w:style>
  <w:style w:type="character" w:customStyle="1" w:styleId="WW8Num5z5">
    <w:name w:val="WW8Num5z5"/>
    <w:rsid w:val="00D34E44"/>
  </w:style>
  <w:style w:type="character" w:customStyle="1" w:styleId="WW8Num5z6">
    <w:name w:val="WW8Num5z6"/>
    <w:rsid w:val="00D34E44"/>
  </w:style>
  <w:style w:type="character" w:customStyle="1" w:styleId="WW8Num5z7">
    <w:name w:val="WW8Num5z7"/>
    <w:rsid w:val="00D34E44"/>
  </w:style>
  <w:style w:type="character" w:customStyle="1" w:styleId="WW8Num5z8">
    <w:name w:val="WW8Num5z8"/>
    <w:rsid w:val="00D34E44"/>
  </w:style>
  <w:style w:type="character" w:customStyle="1" w:styleId="WW8Num6z0">
    <w:name w:val="WW8Num6z0"/>
    <w:rsid w:val="00D34E44"/>
    <w:rPr>
      <w:rFonts w:ascii="Symbol" w:hAnsi="Symbol" w:cs="Symbol"/>
      <w:lang w:val="es-MX"/>
    </w:rPr>
  </w:style>
  <w:style w:type="character" w:customStyle="1" w:styleId="WW8Num6z1">
    <w:name w:val="WW8Num6z1"/>
    <w:rsid w:val="00D34E44"/>
    <w:rPr>
      <w:rFonts w:ascii="Courier New" w:hAnsi="Courier New" w:cs="Courier New"/>
    </w:rPr>
  </w:style>
  <w:style w:type="character" w:customStyle="1" w:styleId="WW8Num6z2">
    <w:name w:val="WW8Num6z2"/>
    <w:rsid w:val="00D34E44"/>
    <w:rPr>
      <w:rFonts w:ascii="Wingdings" w:hAnsi="Wingdings" w:cs="Wingdings"/>
    </w:rPr>
  </w:style>
  <w:style w:type="character" w:customStyle="1" w:styleId="WW8Num7z0">
    <w:name w:val="WW8Num7z0"/>
    <w:rsid w:val="00D34E44"/>
    <w:rPr>
      <w:rFonts w:ascii="Symbol" w:hAnsi="Symbol" w:cs="Symbol"/>
    </w:rPr>
  </w:style>
  <w:style w:type="character" w:customStyle="1" w:styleId="WW8Num7z1">
    <w:name w:val="WW8Num7z1"/>
    <w:rsid w:val="00D34E44"/>
    <w:rPr>
      <w:rFonts w:ascii="Courier New" w:hAnsi="Courier New" w:cs="Courier New"/>
    </w:rPr>
  </w:style>
  <w:style w:type="character" w:customStyle="1" w:styleId="WW8Num7z2">
    <w:name w:val="WW8Num7z2"/>
    <w:rsid w:val="00D34E44"/>
    <w:rPr>
      <w:rFonts w:ascii="Wingdings" w:hAnsi="Wingdings" w:cs="Wingdings"/>
    </w:rPr>
  </w:style>
  <w:style w:type="character" w:customStyle="1" w:styleId="WW8Num8z0">
    <w:name w:val="WW8Num8z0"/>
    <w:rsid w:val="00D34E44"/>
    <w:rPr>
      <w:rFonts w:hint="default"/>
      <w:b/>
      <w:i w:val="0"/>
      <w:sz w:val="22"/>
    </w:rPr>
  </w:style>
  <w:style w:type="character" w:customStyle="1" w:styleId="WW8Num8z1">
    <w:name w:val="WW8Num8z1"/>
    <w:rsid w:val="00D34E44"/>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D34E44"/>
  </w:style>
  <w:style w:type="character" w:customStyle="1" w:styleId="WW8Num8z3">
    <w:name w:val="WW8Num8z3"/>
    <w:rsid w:val="00D34E44"/>
  </w:style>
  <w:style w:type="character" w:customStyle="1" w:styleId="WW8Num8z4">
    <w:name w:val="WW8Num8z4"/>
    <w:rsid w:val="00D34E44"/>
  </w:style>
  <w:style w:type="character" w:customStyle="1" w:styleId="WW8Num8z5">
    <w:name w:val="WW8Num8z5"/>
    <w:rsid w:val="00D34E44"/>
  </w:style>
  <w:style w:type="character" w:customStyle="1" w:styleId="WW8Num8z6">
    <w:name w:val="WW8Num8z6"/>
    <w:rsid w:val="00D34E44"/>
  </w:style>
  <w:style w:type="character" w:customStyle="1" w:styleId="WW8Num8z7">
    <w:name w:val="WW8Num8z7"/>
    <w:rsid w:val="00D34E44"/>
  </w:style>
  <w:style w:type="character" w:customStyle="1" w:styleId="WW8Num8z8">
    <w:name w:val="WW8Num8z8"/>
    <w:rsid w:val="00D34E44"/>
  </w:style>
  <w:style w:type="character" w:customStyle="1" w:styleId="WW8Num9z0">
    <w:name w:val="WW8Num9z0"/>
    <w:rsid w:val="00D34E44"/>
    <w:rPr>
      <w:rFonts w:ascii="Symbol" w:hAnsi="Symbol" w:cs="Symbol" w:hint="default"/>
    </w:rPr>
  </w:style>
  <w:style w:type="character" w:customStyle="1" w:styleId="WW8Num9z1">
    <w:name w:val="WW8Num9z1"/>
    <w:rsid w:val="00D34E44"/>
    <w:rPr>
      <w:rFonts w:ascii="Courier New" w:hAnsi="Courier New" w:cs="Courier New" w:hint="default"/>
    </w:rPr>
  </w:style>
  <w:style w:type="character" w:customStyle="1" w:styleId="WW8Num9z2">
    <w:name w:val="WW8Num9z2"/>
    <w:rsid w:val="00D34E44"/>
    <w:rPr>
      <w:rFonts w:ascii="Wingdings" w:hAnsi="Wingdings" w:cs="Wingdings" w:hint="default"/>
    </w:rPr>
  </w:style>
  <w:style w:type="character" w:customStyle="1" w:styleId="WW8Num10z0">
    <w:name w:val="WW8Num10z0"/>
    <w:rsid w:val="00D34E44"/>
  </w:style>
  <w:style w:type="character" w:customStyle="1" w:styleId="WW8Num10z1">
    <w:name w:val="WW8Num10z1"/>
    <w:rsid w:val="00D34E44"/>
  </w:style>
  <w:style w:type="character" w:customStyle="1" w:styleId="WW8Num10z2">
    <w:name w:val="WW8Num10z2"/>
    <w:rsid w:val="00D34E44"/>
  </w:style>
  <w:style w:type="character" w:customStyle="1" w:styleId="WW8Num10z3">
    <w:name w:val="WW8Num10z3"/>
    <w:rsid w:val="00D34E44"/>
  </w:style>
  <w:style w:type="character" w:customStyle="1" w:styleId="WW8Num10z4">
    <w:name w:val="WW8Num10z4"/>
    <w:rsid w:val="00D34E44"/>
  </w:style>
  <w:style w:type="character" w:customStyle="1" w:styleId="WW8Num10z5">
    <w:name w:val="WW8Num10z5"/>
    <w:rsid w:val="00D34E44"/>
  </w:style>
  <w:style w:type="character" w:customStyle="1" w:styleId="WW8Num10z6">
    <w:name w:val="WW8Num10z6"/>
    <w:rsid w:val="00D34E44"/>
  </w:style>
  <w:style w:type="character" w:customStyle="1" w:styleId="WW8Num10z7">
    <w:name w:val="WW8Num10z7"/>
    <w:rsid w:val="00D34E44"/>
  </w:style>
  <w:style w:type="character" w:customStyle="1" w:styleId="WW8Num10z8">
    <w:name w:val="WW8Num10z8"/>
    <w:rsid w:val="00D34E44"/>
  </w:style>
  <w:style w:type="character" w:customStyle="1" w:styleId="WW8Num11z0">
    <w:name w:val="WW8Num11z0"/>
    <w:rsid w:val="00D34E44"/>
    <w:rPr>
      <w:rFonts w:ascii="Symbol" w:hAnsi="Symbol" w:cs="Symbol" w:hint="default"/>
    </w:rPr>
  </w:style>
  <w:style w:type="character" w:customStyle="1" w:styleId="WW8Num11z1">
    <w:name w:val="WW8Num11z1"/>
    <w:rsid w:val="00D34E44"/>
    <w:rPr>
      <w:rFonts w:ascii="Courier New" w:hAnsi="Courier New" w:cs="Courier New" w:hint="default"/>
    </w:rPr>
  </w:style>
  <w:style w:type="character" w:customStyle="1" w:styleId="WW8Num11z2">
    <w:name w:val="WW8Num11z2"/>
    <w:rsid w:val="00D34E44"/>
    <w:rPr>
      <w:rFonts w:ascii="Wingdings" w:hAnsi="Wingdings" w:cs="Wingdings" w:hint="default"/>
    </w:rPr>
  </w:style>
  <w:style w:type="character" w:customStyle="1" w:styleId="WW8Num12z0">
    <w:name w:val="WW8Num12z0"/>
    <w:rsid w:val="00D34E44"/>
    <w:rPr>
      <w:rFonts w:ascii="Symbol" w:hAnsi="Symbol" w:cs="Symbol" w:hint="default"/>
      <w:sz w:val="20"/>
      <w:szCs w:val="20"/>
      <w:highlight w:val="lightGray"/>
    </w:rPr>
  </w:style>
  <w:style w:type="character" w:customStyle="1" w:styleId="WW8Num12z1">
    <w:name w:val="WW8Num12z1"/>
    <w:rsid w:val="00D34E44"/>
    <w:rPr>
      <w:rFonts w:ascii="Courier New" w:hAnsi="Courier New" w:cs="Courier New" w:hint="default"/>
    </w:rPr>
  </w:style>
  <w:style w:type="character" w:customStyle="1" w:styleId="WW8Num12z2">
    <w:name w:val="WW8Num12z2"/>
    <w:rsid w:val="00D34E44"/>
    <w:rPr>
      <w:rFonts w:ascii="Wingdings" w:hAnsi="Wingdings" w:cs="Wingdings" w:hint="default"/>
    </w:rPr>
  </w:style>
  <w:style w:type="character" w:customStyle="1" w:styleId="Fuentedeprrafopredeter1">
    <w:name w:val="Fuente de párrafo predeter.1"/>
    <w:rsid w:val="00D34E44"/>
  </w:style>
  <w:style w:type="character" w:customStyle="1" w:styleId="TextodegloboCar">
    <w:name w:val="Texto de globo Car"/>
    <w:rsid w:val="00D34E44"/>
    <w:rPr>
      <w:rFonts w:ascii="Tahoma" w:hAnsi="Tahoma" w:cs="Tahoma"/>
      <w:sz w:val="16"/>
      <w:szCs w:val="16"/>
    </w:rPr>
  </w:style>
  <w:style w:type="character" w:customStyle="1" w:styleId="SinespaciadoCar">
    <w:name w:val="Sin espaciado Car"/>
    <w:rsid w:val="00D34E44"/>
    <w:rPr>
      <w:sz w:val="22"/>
      <w:szCs w:val="22"/>
      <w:lang w:val="es-ES" w:bidi="ar-SA"/>
    </w:rPr>
  </w:style>
  <w:style w:type="character" w:customStyle="1" w:styleId="Textoindependiente3Car">
    <w:name w:val="Texto independiente 3 Car"/>
    <w:rsid w:val="00D34E44"/>
    <w:rPr>
      <w:rFonts w:ascii="Arial" w:hAnsi="Arial" w:cs="Arial"/>
      <w:b/>
      <w:lang w:val="es-ES_tradnl"/>
    </w:rPr>
  </w:style>
  <w:style w:type="character" w:customStyle="1" w:styleId="Refdecomentario1">
    <w:name w:val="Ref. de comentario1"/>
    <w:rsid w:val="00D34E44"/>
    <w:rPr>
      <w:sz w:val="16"/>
      <w:szCs w:val="16"/>
    </w:rPr>
  </w:style>
  <w:style w:type="character" w:customStyle="1" w:styleId="TextoindependienteCar1">
    <w:name w:val="Texto independiente Car1"/>
    <w:basedOn w:val="Fuentedeprrafopredeter"/>
    <w:rsid w:val="00D34E44"/>
    <w:rPr>
      <w:rFonts w:ascii="Calibri" w:hAnsi="Calibri"/>
      <w:sz w:val="22"/>
      <w:szCs w:val="22"/>
      <w:lang w:val="x-none" w:eastAsia="zh-CN"/>
    </w:rPr>
  </w:style>
  <w:style w:type="paragraph" w:styleId="Lista">
    <w:name w:val="List"/>
    <w:basedOn w:val="Textoindependiente"/>
    <w:rsid w:val="00D34E44"/>
    <w:pPr>
      <w:widowControl/>
      <w:suppressAutoHyphens/>
      <w:autoSpaceDE/>
      <w:autoSpaceDN/>
      <w:spacing w:after="120" w:line="276" w:lineRule="auto"/>
      <w:jc w:val="both"/>
    </w:pPr>
    <w:rPr>
      <w:rFonts w:ascii="Calibri" w:eastAsia="Times New Roman" w:hAnsi="Calibri" w:cs="Mangal"/>
      <w:sz w:val="22"/>
      <w:szCs w:val="22"/>
      <w:lang w:val="x-none" w:eastAsia="zh-CN"/>
    </w:rPr>
  </w:style>
  <w:style w:type="paragraph" w:styleId="Descripcin">
    <w:name w:val="caption"/>
    <w:basedOn w:val="Normal"/>
    <w:uiPriority w:val="35"/>
    <w:qFormat/>
    <w:rsid w:val="00D34E44"/>
    <w:pPr>
      <w:suppressLineNumbers/>
      <w:suppressAutoHyphens/>
      <w:spacing w:before="120" w:after="120" w:line="276" w:lineRule="auto"/>
      <w:jc w:val="both"/>
    </w:pPr>
    <w:rPr>
      <w:rFonts w:ascii="Calibri" w:eastAsia="Times New Roman" w:hAnsi="Calibri" w:cs="Mangal"/>
      <w:i/>
      <w:iCs/>
      <w:sz w:val="24"/>
      <w:szCs w:val="24"/>
      <w:lang w:eastAsia="zh-CN"/>
    </w:rPr>
  </w:style>
  <w:style w:type="paragraph" w:customStyle="1" w:styleId="ndice">
    <w:name w:val="Índice"/>
    <w:basedOn w:val="Normal"/>
    <w:rsid w:val="00D34E44"/>
    <w:pPr>
      <w:suppressLineNumbers/>
      <w:suppressAutoHyphens/>
      <w:spacing w:after="200" w:line="276" w:lineRule="auto"/>
      <w:jc w:val="both"/>
    </w:pPr>
    <w:rPr>
      <w:rFonts w:ascii="Calibri" w:eastAsia="Times New Roman" w:hAnsi="Calibri" w:cs="Mangal"/>
      <w:lang w:eastAsia="zh-CN"/>
    </w:rPr>
  </w:style>
  <w:style w:type="paragraph" w:styleId="Textodeglobo">
    <w:name w:val="Balloon Text"/>
    <w:basedOn w:val="Normal"/>
    <w:link w:val="TextodegloboCar1"/>
    <w:rsid w:val="00D34E44"/>
    <w:pPr>
      <w:suppressAutoHyphens/>
      <w:spacing w:after="0" w:line="240" w:lineRule="auto"/>
      <w:jc w:val="both"/>
    </w:pPr>
    <w:rPr>
      <w:rFonts w:ascii="Tahoma" w:eastAsia="Times New Roman" w:hAnsi="Tahoma" w:cs="Tahoma"/>
      <w:sz w:val="16"/>
      <w:szCs w:val="16"/>
      <w:lang w:val="x-none" w:eastAsia="zh-CN"/>
    </w:rPr>
  </w:style>
  <w:style w:type="character" w:customStyle="1" w:styleId="TextodegloboCar1">
    <w:name w:val="Texto de globo Car1"/>
    <w:basedOn w:val="Fuentedeprrafopredeter"/>
    <w:link w:val="Textodeglobo"/>
    <w:rsid w:val="00D34E44"/>
    <w:rPr>
      <w:rFonts w:ascii="Tahoma" w:eastAsia="Times New Roman" w:hAnsi="Tahoma" w:cs="Tahoma"/>
      <w:sz w:val="16"/>
      <w:szCs w:val="16"/>
      <w:lang w:val="x-none" w:eastAsia="zh-CN"/>
    </w:rPr>
  </w:style>
  <w:style w:type="character" w:customStyle="1" w:styleId="EncabezadoCar1">
    <w:name w:val="Encabezado Car1"/>
    <w:basedOn w:val="Fuentedeprrafopredeter"/>
    <w:rsid w:val="00D34E44"/>
    <w:rPr>
      <w:rFonts w:ascii="Calibri" w:hAnsi="Calibri"/>
      <w:sz w:val="22"/>
      <w:szCs w:val="22"/>
      <w:lang w:eastAsia="zh-CN"/>
    </w:rPr>
  </w:style>
  <w:style w:type="character" w:customStyle="1" w:styleId="PiedepginaCar1">
    <w:name w:val="Pie de página Car1"/>
    <w:basedOn w:val="Fuentedeprrafopredeter"/>
    <w:uiPriority w:val="99"/>
    <w:rsid w:val="00D34E44"/>
    <w:rPr>
      <w:rFonts w:ascii="Calibri" w:hAnsi="Calibri"/>
      <w:sz w:val="22"/>
      <w:szCs w:val="22"/>
      <w:lang w:eastAsia="zh-CN"/>
    </w:rPr>
  </w:style>
  <w:style w:type="paragraph" w:styleId="Sinespaciado">
    <w:name w:val="No Spacing"/>
    <w:qFormat/>
    <w:rsid w:val="00D34E44"/>
    <w:pPr>
      <w:suppressAutoHyphens/>
    </w:pPr>
    <w:rPr>
      <w:rFonts w:ascii="Calibri" w:eastAsia="Times New Roman" w:hAnsi="Calibri" w:cs="Times New Roman"/>
      <w:sz w:val="22"/>
      <w:szCs w:val="22"/>
      <w:lang w:val="es-ES" w:eastAsia="zh-CN"/>
    </w:rPr>
  </w:style>
  <w:style w:type="paragraph" w:customStyle="1" w:styleId="Textoindependiente31">
    <w:name w:val="Texto independiente 31"/>
    <w:basedOn w:val="Normal"/>
    <w:rsid w:val="00D34E44"/>
    <w:pPr>
      <w:suppressAutoHyphens/>
      <w:spacing w:after="0" w:line="360" w:lineRule="auto"/>
      <w:jc w:val="center"/>
    </w:pPr>
    <w:rPr>
      <w:rFonts w:ascii="Arial" w:eastAsia="Times New Roman" w:hAnsi="Arial" w:cs="Arial"/>
      <w:b/>
      <w:sz w:val="20"/>
      <w:szCs w:val="20"/>
      <w:lang w:val="es-ES_tradnl" w:eastAsia="zh-CN"/>
    </w:rPr>
  </w:style>
  <w:style w:type="paragraph" w:customStyle="1" w:styleId="Textoindependiente21">
    <w:name w:val="Texto independiente 21"/>
    <w:basedOn w:val="Normal"/>
    <w:uiPriority w:val="7"/>
    <w:qFormat/>
    <w:rsid w:val="00D34E44"/>
    <w:pPr>
      <w:suppressAutoHyphens/>
      <w:spacing w:after="120" w:line="480" w:lineRule="auto"/>
      <w:jc w:val="both"/>
    </w:pPr>
    <w:rPr>
      <w:rFonts w:ascii="Calibri" w:eastAsia="Times New Roman" w:hAnsi="Calibri" w:cs="Times New Roman"/>
      <w:lang w:val="x-none" w:eastAsia="zh-CN"/>
    </w:rPr>
  </w:style>
  <w:style w:type="paragraph" w:customStyle="1" w:styleId="p68">
    <w:name w:val="p68"/>
    <w:basedOn w:val="Normal"/>
    <w:rsid w:val="00D34E44"/>
    <w:pPr>
      <w:tabs>
        <w:tab w:val="left" w:pos="740"/>
      </w:tabs>
      <w:suppressAutoHyphens/>
      <w:spacing w:after="0" w:line="280" w:lineRule="atLeast"/>
      <w:ind w:left="720" w:hanging="720"/>
      <w:jc w:val="both"/>
    </w:pPr>
    <w:rPr>
      <w:rFonts w:ascii="Arial" w:eastAsia="Times New Roman" w:hAnsi="Arial" w:cs="Arial"/>
      <w:sz w:val="20"/>
      <w:szCs w:val="20"/>
      <w:lang w:val="es-ES" w:eastAsia="zh-CN"/>
    </w:rPr>
  </w:style>
  <w:style w:type="paragraph" w:customStyle="1" w:styleId="Textocomentario1">
    <w:name w:val="Texto comentario1"/>
    <w:basedOn w:val="Normal"/>
    <w:rsid w:val="00D34E44"/>
    <w:pPr>
      <w:suppressAutoHyphens/>
      <w:spacing w:after="200" w:line="276" w:lineRule="auto"/>
      <w:jc w:val="both"/>
    </w:pPr>
    <w:rPr>
      <w:rFonts w:ascii="Calibri" w:eastAsia="Times New Roman" w:hAnsi="Calibri" w:cs="Times New Roman"/>
      <w:sz w:val="20"/>
      <w:szCs w:val="20"/>
      <w:lang w:eastAsia="zh-CN"/>
    </w:rPr>
  </w:style>
  <w:style w:type="character" w:customStyle="1" w:styleId="TextocomentarioCar1">
    <w:name w:val="Texto comentario Car1"/>
    <w:basedOn w:val="Fuentedeprrafopredeter"/>
    <w:uiPriority w:val="99"/>
    <w:rsid w:val="00D34E44"/>
    <w:rPr>
      <w:rFonts w:ascii="Calibri" w:hAnsi="Calibri"/>
      <w:lang w:eastAsia="zh-CN"/>
    </w:rPr>
  </w:style>
  <w:style w:type="character" w:customStyle="1" w:styleId="AsuntodelcomentarioCar1">
    <w:name w:val="Asunto del comentario Car1"/>
    <w:basedOn w:val="TextocomentarioCar1"/>
    <w:rsid w:val="00D34E44"/>
    <w:rPr>
      <w:rFonts w:ascii="Calibri" w:hAnsi="Calibri"/>
      <w:b/>
      <w:bCs/>
      <w:lang w:eastAsia="zh-CN"/>
    </w:rPr>
  </w:style>
  <w:style w:type="paragraph" w:customStyle="1" w:styleId="Standard">
    <w:name w:val="Standard"/>
    <w:rsid w:val="00D34E44"/>
    <w:pPr>
      <w:suppressAutoHyphens/>
      <w:textAlignment w:val="baseline"/>
    </w:pPr>
    <w:rPr>
      <w:rFonts w:ascii="Times New Roman" w:eastAsia="Times New Roman" w:hAnsi="Times New Roman" w:cs="Times New Roman"/>
      <w:sz w:val="20"/>
      <w:szCs w:val="20"/>
      <w:lang w:val="es-EC" w:eastAsia="zh-CN"/>
    </w:rPr>
  </w:style>
  <w:style w:type="paragraph" w:customStyle="1" w:styleId="Contenidodelatabla">
    <w:name w:val="Contenido de la tabla"/>
    <w:basedOn w:val="Normal"/>
    <w:rsid w:val="00D34E44"/>
    <w:pPr>
      <w:suppressLineNumbers/>
      <w:suppressAutoHyphens/>
      <w:spacing w:after="200" w:line="276" w:lineRule="auto"/>
      <w:jc w:val="both"/>
    </w:pPr>
    <w:rPr>
      <w:rFonts w:ascii="Calibri" w:eastAsia="Times New Roman" w:hAnsi="Calibri" w:cs="Times New Roman"/>
      <w:lang w:eastAsia="zh-CN"/>
    </w:rPr>
  </w:style>
  <w:style w:type="paragraph" w:customStyle="1" w:styleId="Ttulodelatabla">
    <w:name w:val="Título de la tabla"/>
    <w:basedOn w:val="Contenidodelatabla"/>
    <w:rsid w:val="00D34E44"/>
    <w:pPr>
      <w:jc w:val="center"/>
    </w:pPr>
    <w:rPr>
      <w:b/>
      <w:bCs/>
    </w:rPr>
  </w:style>
  <w:style w:type="paragraph" w:customStyle="1" w:styleId="LO-Normal0">
    <w:name w:val="LO-Normal"/>
    <w:qFormat/>
    <w:rsid w:val="00D34E44"/>
    <w:pPr>
      <w:suppressAutoHyphens/>
      <w:spacing w:after="200" w:line="288" w:lineRule="auto"/>
    </w:pPr>
    <w:rPr>
      <w:rFonts w:ascii="Calibri" w:eastAsia="Times New Roman" w:hAnsi="Calibri" w:cs="Lucida Sans"/>
      <w:kern w:val="2"/>
      <w:lang w:val="es-EC" w:eastAsia="zh-CN" w:bidi="hi-IN"/>
    </w:rPr>
  </w:style>
  <w:style w:type="paragraph" w:customStyle="1" w:styleId="Textoindependiente24">
    <w:name w:val="Texto independiente 24"/>
    <w:basedOn w:val="Normal"/>
    <w:uiPriority w:val="7"/>
    <w:qFormat/>
    <w:rsid w:val="00D34E44"/>
    <w:pPr>
      <w:suppressAutoHyphens/>
      <w:spacing w:after="0" w:line="360" w:lineRule="auto"/>
      <w:jc w:val="both"/>
    </w:pPr>
    <w:rPr>
      <w:rFonts w:ascii="Lucida Grande" w:eastAsia="Times" w:hAnsi="Lucida Grande" w:cs="Lucida Grande"/>
      <w:sz w:val="20"/>
      <w:szCs w:val="20"/>
      <w:lang w:val="es-ES_tradnl" w:eastAsia="zh-CN"/>
    </w:rPr>
  </w:style>
  <w:style w:type="paragraph" w:customStyle="1" w:styleId="BodyText21">
    <w:name w:val="Body Text 21"/>
    <w:basedOn w:val="Normal"/>
    <w:uiPriority w:val="6"/>
    <w:qFormat/>
    <w:rsid w:val="00D34E44"/>
    <w:pPr>
      <w:spacing w:after="200" w:line="360" w:lineRule="auto"/>
      <w:jc w:val="both"/>
    </w:pPr>
    <w:rPr>
      <w:rFonts w:ascii="Lucida Grande" w:eastAsia="Times" w:hAnsi="Lucida Grande" w:cs="Lucida Grande"/>
      <w:lang w:eastAsia="es-EC"/>
    </w:rPr>
  </w:style>
  <w:style w:type="paragraph" w:customStyle="1" w:styleId="NormalWeb1">
    <w:name w:val="Normal (Web)1"/>
    <w:basedOn w:val="Normal"/>
    <w:uiPriority w:val="7"/>
    <w:qFormat/>
    <w:rsid w:val="00D34E44"/>
    <w:pPr>
      <w:suppressAutoHyphens/>
      <w:spacing w:after="200" w:line="360" w:lineRule="auto"/>
      <w:jc w:val="both"/>
    </w:pPr>
    <w:rPr>
      <w:rFonts w:ascii="Times New Roman" w:eastAsia="SimSun" w:hAnsi="Times New Roman" w:cs="Times New Roman"/>
      <w:szCs w:val="24"/>
      <w:lang w:val="es-ES" w:eastAsia="es-EC"/>
    </w:rPr>
  </w:style>
  <w:style w:type="character" w:customStyle="1" w:styleId="markedcontent">
    <w:name w:val="markedcontent"/>
    <w:basedOn w:val="Fuentedeprrafopredeter"/>
    <w:rsid w:val="00D34E44"/>
  </w:style>
  <w:style w:type="paragraph" w:customStyle="1" w:styleId="NormalIdentado">
    <w:name w:val="Normal Identado"/>
    <w:basedOn w:val="Normal"/>
    <w:rsid w:val="00D34E44"/>
    <w:pPr>
      <w:widowControl w:val="0"/>
      <w:suppressAutoHyphens/>
      <w:spacing w:after="200" w:line="288" w:lineRule="auto"/>
      <w:ind w:left="400"/>
      <w:jc w:val="both"/>
    </w:pPr>
    <w:rPr>
      <w:rFonts w:ascii="Arial" w:eastAsia="Times New Roman" w:hAnsi="Arial" w:cs="Arial"/>
      <w:sz w:val="21"/>
      <w:szCs w:val="24"/>
      <w:lang w:val="es-ES" w:eastAsia="ar-SA" w:bidi="hi-IN"/>
    </w:rPr>
  </w:style>
  <w:style w:type="character" w:customStyle="1" w:styleId="Textoindependiente2Car1">
    <w:name w:val="Texto independiente 2 Car1"/>
    <w:basedOn w:val="Fuentedeprrafopredeter"/>
    <w:uiPriority w:val="99"/>
    <w:semiHidden/>
    <w:rsid w:val="00D34E44"/>
    <w:rPr>
      <w:rFonts w:ascii="Calibri" w:hAnsi="Calibri"/>
      <w:sz w:val="22"/>
      <w:szCs w:val="22"/>
      <w:lang w:eastAsia="zh-CN"/>
    </w:rPr>
  </w:style>
  <w:style w:type="character" w:customStyle="1" w:styleId="spanhdrurl">
    <w:name w:val="spanhdrurl"/>
    <w:basedOn w:val="Fuentedeprrafopredeter"/>
    <w:rsid w:val="00D34E44"/>
  </w:style>
  <w:style w:type="character" w:customStyle="1" w:styleId="spanhdrspace">
    <w:name w:val="spanhdrspace"/>
    <w:basedOn w:val="Fuentedeprrafopredeter"/>
    <w:rsid w:val="00D34E44"/>
  </w:style>
  <w:style w:type="character" w:styleId="Textoennegrita">
    <w:name w:val="Strong"/>
    <w:basedOn w:val="Fuentedeprrafopredeter"/>
    <w:uiPriority w:val="22"/>
    <w:qFormat/>
    <w:rsid w:val="00D34E44"/>
    <w:rPr>
      <w:b/>
      <w:bCs/>
    </w:rPr>
  </w:style>
  <w:style w:type="character" w:customStyle="1" w:styleId="ui-provider">
    <w:name w:val="ui-provider"/>
    <w:basedOn w:val="Fuentedeprrafopredeter"/>
    <w:rsid w:val="00D34E44"/>
  </w:style>
  <w:style w:type="character" w:styleId="Mencinsinresolver">
    <w:name w:val="Unresolved Mention"/>
    <w:basedOn w:val="Fuentedeprrafopredeter"/>
    <w:uiPriority w:val="99"/>
    <w:unhideWhenUsed/>
    <w:rsid w:val="00D34E44"/>
    <w:rPr>
      <w:color w:val="605E5C"/>
      <w:shd w:val="clear" w:color="auto" w:fill="E1DFDD"/>
    </w:rPr>
  </w:style>
  <w:style w:type="paragraph" w:customStyle="1" w:styleId="TablaAria8">
    <w:name w:val="Tabla Aria 8"/>
    <w:basedOn w:val="Normal"/>
    <w:link w:val="TablaAria8Car"/>
    <w:qFormat/>
    <w:rsid w:val="00D34E44"/>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D34E44"/>
    <w:rPr>
      <w:rFonts w:ascii="Arial" w:eastAsia="Times New Roman" w:hAnsi="Arial" w:cs="Calibri"/>
      <w:sz w:val="16"/>
      <w:szCs w:val="18"/>
      <w:lang w:val="es-ES" w:eastAsia="es-ES"/>
    </w:rPr>
  </w:style>
  <w:style w:type="paragraph" w:customStyle="1" w:styleId="Normal1">
    <w:name w:val="Normal1"/>
    <w:qFormat/>
    <w:rsid w:val="00D34E44"/>
    <w:pPr>
      <w:spacing w:after="160" w:line="259" w:lineRule="auto"/>
      <w:jc w:val="both"/>
    </w:pPr>
    <w:rPr>
      <w:rFonts w:ascii="Arial" w:eastAsia="Arial" w:hAnsi="Arial" w:cs="Arial"/>
      <w:color w:val="00000A"/>
      <w:sz w:val="20"/>
      <w:szCs w:val="20"/>
      <w:lang w:val="es-EC" w:eastAsia="es-ES"/>
    </w:rPr>
  </w:style>
  <w:style w:type="paragraph" w:customStyle="1" w:styleId="msonormal0">
    <w:name w:val="msonormal"/>
    <w:basedOn w:val="Normal"/>
    <w:rsid w:val="00D34E44"/>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5">
    <w:name w:val="xl65"/>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66">
    <w:name w:val="xl66"/>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67">
    <w:name w:val="xl67"/>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68">
    <w:name w:val="xl68"/>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69">
    <w:name w:val="xl69"/>
    <w:basedOn w:val="Normal"/>
    <w:rsid w:val="00D34E44"/>
    <w:pPr>
      <w:spacing w:before="100" w:beforeAutospacing="1" w:after="100" w:afterAutospacing="1" w:line="240" w:lineRule="auto"/>
      <w:textAlignment w:val="center"/>
    </w:pPr>
    <w:rPr>
      <w:rFonts w:ascii="Times New Roman" w:eastAsia="Times New Roman" w:hAnsi="Times New Roman" w:cs="Times New Roman"/>
      <w:b/>
      <w:bCs/>
      <w:sz w:val="28"/>
      <w:szCs w:val="28"/>
      <w:lang w:eastAsia="es-EC"/>
    </w:rPr>
  </w:style>
  <w:style w:type="paragraph" w:customStyle="1" w:styleId="xl70">
    <w:name w:val="xl70"/>
    <w:basedOn w:val="Normal"/>
    <w:rsid w:val="00D34E44"/>
    <w:pP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71">
    <w:name w:val="xl71"/>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2">
    <w:name w:val="xl72"/>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3">
    <w:name w:val="xl73"/>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74">
    <w:name w:val="xl74"/>
    <w:basedOn w:val="Normal"/>
    <w:rsid w:val="00D34E44"/>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75">
    <w:name w:val="xl75"/>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76">
    <w:name w:val="xl76"/>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77">
    <w:name w:val="xl77"/>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78">
    <w:name w:val="xl78"/>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79">
    <w:name w:val="xl79"/>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80">
    <w:name w:val="xl80"/>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es-EC"/>
    </w:rPr>
  </w:style>
  <w:style w:type="paragraph" w:customStyle="1" w:styleId="xl81">
    <w:name w:val="xl81"/>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es-EC"/>
    </w:rPr>
  </w:style>
  <w:style w:type="paragraph" w:customStyle="1" w:styleId="xl82">
    <w:name w:val="xl82"/>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lang w:eastAsia="es-EC"/>
    </w:rPr>
  </w:style>
  <w:style w:type="paragraph" w:customStyle="1" w:styleId="xl83">
    <w:name w:val="xl83"/>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84">
    <w:name w:val="xl84"/>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85">
    <w:name w:val="xl85"/>
    <w:basedOn w:val="Normal"/>
    <w:rsid w:val="00D34E44"/>
    <w:pPr>
      <w:spacing w:before="100" w:beforeAutospacing="1" w:after="100" w:afterAutospacing="1" w:line="240" w:lineRule="auto"/>
      <w:textAlignment w:val="center"/>
    </w:pPr>
    <w:rPr>
      <w:rFonts w:ascii="Times New Roman" w:eastAsia="Times New Roman" w:hAnsi="Times New Roman" w:cs="Times New Roman"/>
      <w:sz w:val="24"/>
      <w:szCs w:val="24"/>
      <w:lang w:eastAsia="es-EC"/>
    </w:rPr>
  </w:style>
  <w:style w:type="paragraph" w:customStyle="1" w:styleId="xl86">
    <w:name w:val="xl86"/>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0"/>
      <w:szCs w:val="20"/>
      <w:lang w:eastAsia="es-EC"/>
    </w:rPr>
  </w:style>
  <w:style w:type="paragraph" w:customStyle="1" w:styleId="xl87">
    <w:name w:val="xl87"/>
    <w:basedOn w:val="Normal"/>
    <w:rsid w:val="00D34E44"/>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88">
    <w:name w:val="xl88"/>
    <w:basedOn w:val="Normal"/>
    <w:rsid w:val="00D34E44"/>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0"/>
      <w:szCs w:val="20"/>
      <w:lang w:eastAsia="es-EC"/>
    </w:rPr>
  </w:style>
  <w:style w:type="paragraph" w:customStyle="1" w:styleId="xl89">
    <w:name w:val="xl89"/>
    <w:basedOn w:val="Normal"/>
    <w:rsid w:val="00D34E44"/>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0"/>
      <w:szCs w:val="20"/>
      <w:lang w:eastAsia="es-EC"/>
    </w:rPr>
  </w:style>
  <w:style w:type="paragraph" w:customStyle="1" w:styleId="xl90">
    <w:name w:val="xl90"/>
    <w:basedOn w:val="Normal"/>
    <w:rsid w:val="00D34E44"/>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0"/>
      <w:szCs w:val="20"/>
      <w:lang w:eastAsia="es-EC"/>
    </w:rPr>
  </w:style>
  <w:style w:type="paragraph" w:customStyle="1" w:styleId="xl91">
    <w:name w:val="xl91"/>
    <w:basedOn w:val="Normal"/>
    <w:rsid w:val="00D34E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92">
    <w:name w:val="xl92"/>
    <w:basedOn w:val="Normal"/>
    <w:rsid w:val="00D34E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93">
    <w:name w:val="xl93"/>
    <w:basedOn w:val="Normal"/>
    <w:rsid w:val="00D34E44"/>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18"/>
      <w:szCs w:val="18"/>
      <w:lang w:eastAsia="es-EC"/>
    </w:rPr>
  </w:style>
  <w:style w:type="paragraph" w:customStyle="1" w:styleId="xl94">
    <w:name w:val="xl94"/>
    <w:basedOn w:val="Normal"/>
    <w:rsid w:val="00D34E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95">
    <w:name w:val="xl95"/>
    <w:basedOn w:val="Normal"/>
    <w:rsid w:val="00D34E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western">
    <w:name w:val="western"/>
    <w:basedOn w:val="Normal"/>
    <w:qFormat/>
    <w:rsid w:val="00D34E44"/>
    <w:pPr>
      <w:spacing w:before="100" w:beforeAutospacing="1" w:after="115" w:line="276" w:lineRule="auto"/>
      <w:jc w:val="both"/>
    </w:pPr>
    <w:rPr>
      <w:rFonts w:ascii="Arial" w:eastAsia="SimSun" w:hAnsi="Arial" w:cs="Arial"/>
      <w:color w:val="000000"/>
      <w:sz w:val="20"/>
      <w:szCs w:val="20"/>
      <w:lang w:val="es-ES" w:eastAsia="es-ES"/>
    </w:rPr>
  </w:style>
  <w:style w:type="paragraph" w:customStyle="1" w:styleId="pf0">
    <w:name w:val="pf0"/>
    <w:basedOn w:val="Normal"/>
    <w:rsid w:val="00D34E44"/>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pf1">
    <w:name w:val="pf1"/>
    <w:basedOn w:val="Normal"/>
    <w:rsid w:val="00D34E44"/>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D34E44"/>
    <w:rPr>
      <w:rFonts w:ascii="Segoe UI" w:hAnsi="Segoe UI" w:cs="Segoe UI" w:hint="default"/>
      <w:sz w:val="18"/>
      <w:szCs w:val="18"/>
    </w:rPr>
  </w:style>
  <w:style w:type="paragraph" w:customStyle="1" w:styleId="pf2">
    <w:name w:val="pf2"/>
    <w:basedOn w:val="Normal"/>
    <w:rsid w:val="00D34E44"/>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11">
    <w:name w:val="cf11"/>
    <w:basedOn w:val="Fuentedeprrafopredeter"/>
    <w:rsid w:val="00D34E44"/>
    <w:rPr>
      <w:rFonts w:ascii="Segoe UI" w:hAnsi="Segoe UI" w:cs="Segoe UI" w:hint="default"/>
      <w:sz w:val="18"/>
      <w:szCs w:val="18"/>
    </w:rPr>
  </w:style>
  <w:style w:type="character" w:styleId="nfasis">
    <w:name w:val="Emphasis"/>
    <w:basedOn w:val="Fuentedeprrafopredeter"/>
    <w:uiPriority w:val="20"/>
    <w:qFormat/>
    <w:rsid w:val="00160081"/>
    <w:rPr>
      <w:i/>
      <w:iCs/>
    </w:rPr>
  </w:style>
  <w:style w:type="paragraph" w:styleId="TDC1">
    <w:name w:val="toc 1"/>
    <w:basedOn w:val="Normal"/>
    <w:next w:val="Normal"/>
    <w:autoRedefine/>
    <w:uiPriority w:val="39"/>
    <w:unhideWhenUsed/>
    <w:rsid w:val="00160081"/>
    <w:pPr>
      <w:spacing w:before="120" w:after="0" w:line="240" w:lineRule="auto"/>
    </w:pPr>
    <w:rPr>
      <w:rFonts w:eastAsia="Times New Roman" w:cs="Times New Roman"/>
      <w:b/>
      <w:bCs/>
      <w:i/>
      <w:iCs/>
      <w:sz w:val="24"/>
      <w:szCs w:val="24"/>
    </w:rPr>
  </w:style>
  <w:style w:type="paragraph" w:styleId="TDC2">
    <w:name w:val="toc 2"/>
    <w:basedOn w:val="Normal"/>
    <w:next w:val="Normal"/>
    <w:autoRedefine/>
    <w:uiPriority w:val="39"/>
    <w:unhideWhenUsed/>
    <w:rsid w:val="00160081"/>
    <w:pPr>
      <w:tabs>
        <w:tab w:val="right" w:leader="underscore" w:pos="9350"/>
      </w:tabs>
      <w:spacing w:before="120" w:after="0" w:line="240" w:lineRule="auto"/>
    </w:pPr>
    <w:rPr>
      <w:rFonts w:eastAsia="Times New Roman" w:cs="Times New Roman"/>
      <w:b/>
      <w:bCs/>
    </w:rPr>
  </w:style>
  <w:style w:type="paragraph" w:styleId="TDC3">
    <w:name w:val="toc 3"/>
    <w:basedOn w:val="Normal"/>
    <w:next w:val="Normal"/>
    <w:autoRedefine/>
    <w:uiPriority w:val="39"/>
    <w:unhideWhenUsed/>
    <w:rsid w:val="00160081"/>
    <w:pPr>
      <w:spacing w:after="0" w:line="240" w:lineRule="auto"/>
      <w:ind w:left="480"/>
    </w:pPr>
    <w:rPr>
      <w:rFonts w:eastAsia="Times New Roman" w:cs="Times New Roman"/>
      <w:sz w:val="20"/>
      <w:szCs w:val="20"/>
    </w:rPr>
  </w:style>
  <w:style w:type="paragraph" w:styleId="TDC4">
    <w:name w:val="toc 4"/>
    <w:basedOn w:val="Normal"/>
    <w:next w:val="Normal"/>
    <w:autoRedefine/>
    <w:uiPriority w:val="39"/>
    <w:unhideWhenUsed/>
    <w:rsid w:val="00160081"/>
    <w:pPr>
      <w:spacing w:after="0" w:line="240" w:lineRule="auto"/>
      <w:ind w:left="720"/>
    </w:pPr>
    <w:rPr>
      <w:rFonts w:eastAsia="Times New Roman" w:cs="Times New Roman"/>
      <w:sz w:val="20"/>
      <w:szCs w:val="20"/>
    </w:rPr>
  </w:style>
  <w:style w:type="paragraph" w:styleId="TDC5">
    <w:name w:val="toc 5"/>
    <w:basedOn w:val="Normal"/>
    <w:next w:val="Normal"/>
    <w:autoRedefine/>
    <w:uiPriority w:val="39"/>
    <w:unhideWhenUsed/>
    <w:rsid w:val="00160081"/>
    <w:pPr>
      <w:spacing w:after="0" w:line="240" w:lineRule="auto"/>
      <w:ind w:left="960"/>
    </w:pPr>
    <w:rPr>
      <w:rFonts w:eastAsia="Times New Roman" w:cs="Times New Roman"/>
      <w:sz w:val="20"/>
      <w:szCs w:val="20"/>
    </w:rPr>
  </w:style>
  <w:style w:type="paragraph" w:styleId="TDC6">
    <w:name w:val="toc 6"/>
    <w:basedOn w:val="Normal"/>
    <w:next w:val="Normal"/>
    <w:autoRedefine/>
    <w:uiPriority w:val="39"/>
    <w:unhideWhenUsed/>
    <w:rsid w:val="00160081"/>
    <w:pPr>
      <w:spacing w:after="0" w:line="240" w:lineRule="auto"/>
      <w:ind w:left="1200"/>
    </w:pPr>
    <w:rPr>
      <w:rFonts w:eastAsia="Times New Roman" w:cs="Times New Roman"/>
      <w:sz w:val="20"/>
      <w:szCs w:val="20"/>
    </w:rPr>
  </w:style>
  <w:style w:type="paragraph" w:styleId="TDC7">
    <w:name w:val="toc 7"/>
    <w:basedOn w:val="Normal"/>
    <w:next w:val="Normal"/>
    <w:autoRedefine/>
    <w:uiPriority w:val="39"/>
    <w:unhideWhenUsed/>
    <w:rsid w:val="00160081"/>
    <w:pPr>
      <w:spacing w:after="0" w:line="240" w:lineRule="auto"/>
      <w:ind w:left="1440"/>
    </w:pPr>
    <w:rPr>
      <w:rFonts w:eastAsia="Times New Roman" w:cs="Times New Roman"/>
      <w:sz w:val="20"/>
      <w:szCs w:val="20"/>
    </w:rPr>
  </w:style>
  <w:style w:type="paragraph" w:styleId="TDC8">
    <w:name w:val="toc 8"/>
    <w:basedOn w:val="Normal"/>
    <w:next w:val="Normal"/>
    <w:autoRedefine/>
    <w:uiPriority w:val="39"/>
    <w:unhideWhenUsed/>
    <w:rsid w:val="00160081"/>
    <w:pPr>
      <w:spacing w:after="0" w:line="240" w:lineRule="auto"/>
      <w:ind w:left="1680"/>
    </w:pPr>
    <w:rPr>
      <w:rFonts w:eastAsia="Times New Roman" w:cs="Times New Roman"/>
      <w:sz w:val="20"/>
      <w:szCs w:val="20"/>
    </w:rPr>
  </w:style>
  <w:style w:type="paragraph" w:styleId="TDC9">
    <w:name w:val="toc 9"/>
    <w:basedOn w:val="Normal"/>
    <w:next w:val="Normal"/>
    <w:autoRedefine/>
    <w:uiPriority w:val="39"/>
    <w:unhideWhenUsed/>
    <w:rsid w:val="00160081"/>
    <w:pPr>
      <w:spacing w:after="0" w:line="240" w:lineRule="auto"/>
      <w:ind w:left="1920"/>
    </w:pPr>
    <w:rPr>
      <w:rFonts w:eastAsia="Times New Roman" w:cs="Times New Roman"/>
      <w:sz w:val="20"/>
      <w:szCs w:val="20"/>
    </w:rPr>
  </w:style>
  <w:style w:type="character" w:customStyle="1" w:styleId="t286pc">
    <w:name w:val="t286pc"/>
    <w:basedOn w:val="Fuentedeprrafopredeter"/>
    <w:rsid w:val="001600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79426">
      <w:bodyDiv w:val="1"/>
      <w:marLeft w:val="0"/>
      <w:marRight w:val="0"/>
      <w:marTop w:val="0"/>
      <w:marBottom w:val="0"/>
      <w:divBdr>
        <w:top w:val="none" w:sz="0" w:space="0" w:color="auto"/>
        <w:left w:val="none" w:sz="0" w:space="0" w:color="auto"/>
        <w:bottom w:val="none" w:sz="0" w:space="0" w:color="auto"/>
        <w:right w:val="none" w:sz="0" w:space="0" w:color="auto"/>
      </w:divBdr>
    </w:div>
    <w:div w:id="24646910">
      <w:bodyDiv w:val="1"/>
      <w:marLeft w:val="0"/>
      <w:marRight w:val="0"/>
      <w:marTop w:val="0"/>
      <w:marBottom w:val="0"/>
      <w:divBdr>
        <w:top w:val="none" w:sz="0" w:space="0" w:color="auto"/>
        <w:left w:val="none" w:sz="0" w:space="0" w:color="auto"/>
        <w:bottom w:val="none" w:sz="0" w:space="0" w:color="auto"/>
        <w:right w:val="none" w:sz="0" w:space="0" w:color="auto"/>
      </w:divBdr>
    </w:div>
    <w:div w:id="28342927">
      <w:bodyDiv w:val="1"/>
      <w:marLeft w:val="0"/>
      <w:marRight w:val="0"/>
      <w:marTop w:val="0"/>
      <w:marBottom w:val="0"/>
      <w:divBdr>
        <w:top w:val="none" w:sz="0" w:space="0" w:color="auto"/>
        <w:left w:val="none" w:sz="0" w:space="0" w:color="auto"/>
        <w:bottom w:val="none" w:sz="0" w:space="0" w:color="auto"/>
        <w:right w:val="none" w:sz="0" w:space="0" w:color="auto"/>
      </w:divBdr>
    </w:div>
    <w:div w:id="29573220">
      <w:bodyDiv w:val="1"/>
      <w:marLeft w:val="0"/>
      <w:marRight w:val="0"/>
      <w:marTop w:val="0"/>
      <w:marBottom w:val="0"/>
      <w:divBdr>
        <w:top w:val="none" w:sz="0" w:space="0" w:color="auto"/>
        <w:left w:val="none" w:sz="0" w:space="0" w:color="auto"/>
        <w:bottom w:val="none" w:sz="0" w:space="0" w:color="auto"/>
        <w:right w:val="none" w:sz="0" w:space="0" w:color="auto"/>
      </w:divBdr>
    </w:div>
    <w:div w:id="38745536">
      <w:bodyDiv w:val="1"/>
      <w:marLeft w:val="0"/>
      <w:marRight w:val="0"/>
      <w:marTop w:val="0"/>
      <w:marBottom w:val="0"/>
      <w:divBdr>
        <w:top w:val="none" w:sz="0" w:space="0" w:color="auto"/>
        <w:left w:val="none" w:sz="0" w:space="0" w:color="auto"/>
        <w:bottom w:val="none" w:sz="0" w:space="0" w:color="auto"/>
        <w:right w:val="none" w:sz="0" w:space="0" w:color="auto"/>
      </w:divBdr>
    </w:div>
    <w:div w:id="39129825">
      <w:bodyDiv w:val="1"/>
      <w:marLeft w:val="0"/>
      <w:marRight w:val="0"/>
      <w:marTop w:val="0"/>
      <w:marBottom w:val="0"/>
      <w:divBdr>
        <w:top w:val="none" w:sz="0" w:space="0" w:color="auto"/>
        <w:left w:val="none" w:sz="0" w:space="0" w:color="auto"/>
        <w:bottom w:val="none" w:sz="0" w:space="0" w:color="auto"/>
        <w:right w:val="none" w:sz="0" w:space="0" w:color="auto"/>
      </w:divBdr>
    </w:div>
    <w:div w:id="39207152">
      <w:bodyDiv w:val="1"/>
      <w:marLeft w:val="0"/>
      <w:marRight w:val="0"/>
      <w:marTop w:val="0"/>
      <w:marBottom w:val="0"/>
      <w:divBdr>
        <w:top w:val="none" w:sz="0" w:space="0" w:color="auto"/>
        <w:left w:val="none" w:sz="0" w:space="0" w:color="auto"/>
        <w:bottom w:val="none" w:sz="0" w:space="0" w:color="auto"/>
        <w:right w:val="none" w:sz="0" w:space="0" w:color="auto"/>
      </w:divBdr>
    </w:div>
    <w:div w:id="41953169">
      <w:bodyDiv w:val="1"/>
      <w:marLeft w:val="0"/>
      <w:marRight w:val="0"/>
      <w:marTop w:val="0"/>
      <w:marBottom w:val="0"/>
      <w:divBdr>
        <w:top w:val="none" w:sz="0" w:space="0" w:color="auto"/>
        <w:left w:val="none" w:sz="0" w:space="0" w:color="auto"/>
        <w:bottom w:val="none" w:sz="0" w:space="0" w:color="auto"/>
        <w:right w:val="none" w:sz="0" w:space="0" w:color="auto"/>
      </w:divBdr>
    </w:div>
    <w:div w:id="46759665">
      <w:bodyDiv w:val="1"/>
      <w:marLeft w:val="0"/>
      <w:marRight w:val="0"/>
      <w:marTop w:val="0"/>
      <w:marBottom w:val="0"/>
      <w:divBdr>
        <w:top w:val="none" w:sz="0" w:space="0" w:color="auto"/>
        <w:left w:val="none" w:sz="0" w:space="0" w:color="auto"/>
        <w:bottom w:val="none" w:sz="0" w:space="0" w:color="auto"/>
        <w:right w:val="none" w:sz="0" w:space="0" w:color="auto"/>
      </w:divBdr>
    </w:div>
    <w:div w:id="48458727">
      <w:bodyDiv w:val="1"/>
      <w:marLeft w:val="0"/>
      <w:marRight w:val="0"/>
      <w:marTop w:val="0"/>
      <w:marBottom w:val="0"/>
      <w:divBdr>
        <w:top w:val="none" w:sz="0" w:space="0" w:color="auto"/>
        <w:left w:val="none" w:sz="0" w:space="0" w:color="auto"/>
        <w:bottom w:val="none" w:sz="0" w:space="0" w:color="auto"/>
        <w:right w:val="none" w:sz="0" w:space="0" w:color="auto"/>
      </w:divBdr>
    </w:div>
    <w:div w:id="49353186">
      <w:bodyDiv w:val="1"/>
      <w:marLeft w:val="0"/>
      <w:marRight w:val="0"/>
      <w:marTop w:val="0"/>
      <w:marBottom w:val="0"/>
      <w:divBdr>
        <w:top w:val="none" w:sz="0" w:space="0" w:color="auto"/>
        <w:left w:val="none" w:sz="0" w:space="0" w:color="auto"/>
        <w:bottom w:val="none" w:sz="0" w:space="0" w:color="auto"/>
        <w:right w:val="none" w:sz="0" w:space="0" w:color="auto"/>
      </w:divBdr>
    </w:div>
    <w:div w:id="71241862">
      <w:bodyDiv w:val="1"/>
      <w:marLeft w:val="0"/>
      <w:marRight w:val="0"/>
      <w:marTop w:val="0"/>
      <w:marBottom w:val="0"/>
      <w:divBdr>
        <w:top w:val="none" w:sz="0" w:space="0" w:color="auto"/>
        <w:left w:val="none" w:sz="0" w:space="0" w:color="auto"/>
        <w:bottom w:val="none" w:sz="0" w:space="0" w:color="auto"/>
        <w:right w:val="none" w:sz="0" w:space="0" w:color="auto"/>
      </w:divBdr>
    </w:div>
    <w:div w:id="75517673">
      <w:bodyDiv w:val="1"/>
      <w:marLeft w:val="0"/>
      <w:marRight w:val="0"/>
      <w:marTop w:val="0"/>
      <w:marBottom w:val="0"/>
      <w:divBdr>
        <w:top w:val="none" w:sz="0" w:space="0" w:color="auto"/>
        <w:left w:val="none" w:sz="0" w:space="0" w:color="auto"/>
        <w:bottom w:val="none" w:sz="0" w:space="0" w:color="auto"/>
        <w:right w:val="none" w:sz="0" w:space="0" w:color="auto"/>
      </w:divBdr>
    </w:div>
    <w:div w:id="76557391">
      <w:bodyDiv w:val="1"/>
      <w:marLeft w:val="0"/>
      <w:marRight w:val="0"/>
      <w:marTop w:val="0"/>
      <w:marBottom w:val="0"/>
      <w:divBdr>
        <w:top w:val="none" w:sz="0" w:space="0" w:color="auto"/>
        <w:left w:val="none" w:sz="0" w:space="0" w:color="auto"/>
        <w:bottom w:val="none" w:sz="0" w:space="0" w:color="auto"/>
        <w:right w:val="none" w:sz="0" w:space="0" w:color="auto"/>
      </w:divBdr>
    </w:div>
    <w:div w:id="92240985">
      <w:bodyDiv w:val="1"/>
      <w:marLeft w:val="0"/>
      <w:marRight w:val="0"/>
      <w:marTop w:val="0"/>
      <w:marBottom w:val="0"/>
      <w:divBdr>
        <w:top w:val="none" w:sz="0" w:space="0" w:color="auto"/>
        <w:left w:val="none" w:sz="0" w:space="0" w:color="auto"/>
        <w:bottom w:val="none" w:sz="0" w:space="0" w:color="auto"/>
        <w:right w:val="none" w:sz="0" w:space="0" w:color="auto"/>
      </w:divBdr>
    </w:div>
    <w:div w:id="92895004">
      <w:bodyDiv w:val="1"/>
      <w:marLeft w:val="0"/>
      <w:marRight w:val="0"/>
      <w:marTop w:val="0"/>
      <w:marBottom w:val="0"/>
      <w:divBdr>
        <w:top w:val="none" w:sz="0" w:space="0" w:color="auto"/>
        <w:left w:val="none" w:sz="0" w:space="0" w:color="auto"/>
        <w:bottom w:val="none" w:sz="0" w:space="0" w:color="auto"/>
        <w:right w:val="none" w:sz="0" w:space="0" w:color="auto"/>
      </w:divBdr>
    </w:div>
    <w:div w:id="106311935">
      <w:bodyDiv w:val="1"/>
      <w:marLeft w:val="0"/>
      <w:marRight w:val="0"/>
      <w:marTop w:val="0"/>
      <w:marBottom w:val="0"/>
      <w:divBdr>
        <w:top w:val="none" w:sz="0" w:space="0" w:color="auto"/>
        <w:left w:val="none" w:sz="0" w:space="0" w:color="auto"/>
        <w:bottom w:val="none" w:sz="0" w:space="0" w:color="auto"/>
        <w:right w:val="none" w:sz="0" w:space="0" w:color="auto"/>
      </w:divBdr>
    </w:div>
    <w:div w:id="141965714">
      <w:bodyDiv w:val="1"/>
      <w:marLeft w:val="0"/>
      <w:marRight w:val="0"/>
      <w:marTop w:val="0"/>
      <w:marBottom w:val="0"/>
      <w:divBdr>
        <w:top w:val="none" w:sz="0" w:space="0" w:color="auto"/>
        <w:left w:val="none" w:sz="0" w:space="0" w:color="auto"/>
        <w:bottom w:val="none" w:sz="0" w:space="0" w:color="auto"/>
        <w:right w:val="none" w:sz="0" w:space="0" w:color="auto"/>
      </w:divBdr>
    </w:div>
    <w:div w:id="150025179">
      <w:bodyDiv w:val="1"/>
      <w:marLeft w:val="0"/>
      <w:marRight w:val="0"/>
      <w:marTop w:val="0"/>
      <w:marBottom w:val="0"/>
      <w:divBdr>
        <w:top w:val="none" w:sz="0" w:space="0" w:color="auto"/>
        <w:left w:val="none" w:sz="0" w:space="0" w:color="auto"/>
        <w:bottom w:val="none" w:sz="0" w:space="0" w:color="auto"/>
        <w:right w:val="none" w:sz="0" w:space="0" w:color="auto"/>
      </w:divBdr>
    </w:div>
    <w:div w:id="161354090">
      <w:bodyDiv w:val="1"/>
      <w:marLeft w:val="0"/>
      <w:marRight w:val="0"/>
      <w:marTop w:val="0"/>
      <w:marBottom w:val="0"/>
      <w:divBdr>
        <w:top w:val="none" w:sz="0" w:space="0" w:color="auto"/>
        <w:left w:val="none" w:sz="0" w:space="0" w:color="auto"/>
        <w:bottom w:val="none" w:sz="0" w:space="0" w:color="auto"/>
        <w:right w:val="none" w:sz="0" w:space="0" w:color="auto"/>
      </w:divBdr>
    </w:div>
    <w:div w:id="162625573">
      <w:bodyDiv w:val="1"/>
      <w:marLeft w:val="0"/>
      <w:marRight w:val="0"/>
      <w:marTop w:val="0"/>
      <w:marBottom w:val="0"/>
      <w:divBdr>
        <w:top w:val="none" w:sz="0" w:space="0" w:color="auto"/>
        <w:left w:val="none" w:sz="0" w:space="0" w:color="auto"/>
        <w:bottom w:val="none" w:sz="0" w:space="0" w:color="auto"/>
        <w:right w:val="none" w:sz="0" w:space="0" w:color="auto"/>
      </w:divBdr>
    </w:div>
    <w:div w:id="165680332">
      <w:bodyDiv w:val="1"/>
      <w:marLeft w:val="0"/>
      <w:marRight w:val="0"/>
      <w:marTop w:val="0"/>
      <w:marBottom w:val="0"/>
      <w:divBdr>
        <w:top w:val="none" w:sz="0" w:space="0" w:color="auto"/>
        <w:left w:val="none" w:sz="0" w:space="0" w:color="auto"/>
        <w:bottom w:val="none" w:sz="0" w:space="0" w:color="auto"/>
        <w:right w:val="none" w:sz="0" w:space="0" w:color="auto"/>
      </w:divBdr>
    </w:div>
    <w:div w:id="192114131">
      <w:bodyDiv w:val="1"/>
      <w:marLeft w:val="0"/>
      <w:marRight w:val="0"/>
      <w:marTop w:val="0"/>
      <w:marBottom w:val="0"/>
      <w:divBdr>
        <w:top w:val="none" w:sz="0" w:space="0" w:color="auto"/>
        <w:left w:val="none" w:sz="0" w:space="0" w:color="auto"/>
        <w:bottom w:val="none" w:sz="0" w:space="0" w:color="auto"/>
        <w:right w:val="none" w:sz="0" w:space="0" w:color="auto"/>
      </w:divBdr>
    </w:div>
    <w:div w:id="197008061">
      <w:bodyDiv w:val="1"/>
      <w:marLeft w:val="0"/>
      <w:marRight w:val="0"/>
      <w:marTop w:val="0"/>
      <w:marBottom w:val="0"/>
      <w:divBdr>
        <w:top w:val="none" w:sz="0" w:space="0" w:color="auto"/>
        <w:left w:val="none" w:sz="0" w:space="0" w:color="auto"/>
        <w:bottom w:val="none" w:sz="0" w:space="0" w:color="auto"/>
        <w:right w:val="none" w:sz="0" w:space="0" w:color="auto"/>
      </w:divBdr>
    </w:div>
    <w:div w:id="255017127">
      <w:bodyDiv w:val="1"/>
      <w:marLeft w:val="0"/>
      <w:marRight w:val="0"/>
      <w:marTop w:val="0"/>
      <w:marBottom w:val="0"/>
      <w:divBdr>
        <w:top w:val="none" w:sz="0" w:space="0" w:color="auto"/>
        <w:left w:val="none" w:sz="0" w:space="0" w:color="auto"/>
        <w:bottom w:val="none" w:sz="0" w:space="0" w:color="auto"/>
        <w:right w:val="none" w:sz="0" w:space="0" w:color="auto"/>
      </w:divBdr>
    </w:div>
    <w:div w:id="261455470">
      <w:bodyDiv w:val="1"/>
      <w:marLeft w:val="0"/>
      <w:marRight w:val="0"/>
      <w:marTop w:val="0"/>
      <w:marBottom w:val="0"/>
      <w:divBdr>
        <w:top w:val="none" w:sz="0" w:space="0" w:color="auto"/>
        <w:left w:val="none" w:sz="0" w:space="0" w:color="auto"/>
        <w:bottom w:val="none" w:sz="0" w:space="0" w:color="auto"/>
        <w:right w:val="none" w:sz="0" w:space="0" w:color="auto"/>
      </w:divBdr>
    </w:div>
    <w:div w:id="264660219">
      <w:bodyDiv w:val="1"/>
      <w:marLeft w:val="0"/>
      <w:marRight w:val="0"/>
      <w:marTop w:val="0"/>
      <w:marBottom w:val="0"/>
      <w:divBdr>
        <w:top w:val="none" w:sz="0" w:space="0" w:color="auto"/>
        <w:left w:val="none" w:sz="0" w:space="0" w:color="auto"/>
        <w:bottom w:val="none" w:sz="0" w:space="0" w:color="auto"/>
        <w:right w:val="none" w:sz="0" w:space="0" w:color="auto"/>
      </w:divBdr>
    </w:div>
    <w:div w:id="287973938">
      <w:bodyDiv w:val="1"/>
      <w:marLeft w:val="0"/>
      <w:marRight w:val="0"/>
      <w:marTop w:val="0"/>
      <w:marBottom w:val="0"/>
      <w:divBdr>
        <w:top w:val="none" w:sz="0" w:space="0" w:color="auto"/>
        <w:left w:val="none" w:sz="0" w:space="0" w:color="auto"/>
        <w:bottom w:val="none" w:sz="0" w:space="0" w:color="auto"/>
        <w:right w:val="none" w:sz="0" w:space="0" w:color="auto"/>
      </w:divBdr>
    </w:div>
    <w:div w:id="322664219">
      <w:bodyDiv w:val="1"/>
      <w:marLeft w:val="0"/>
      <w:marRight w:val="0"/>
      <w:marTop w:val="0"/>
      <w:marBottom w:val="0"/>
      <w:divBdr>
        <w:top w:val="none" w:sz="0" w:space="0" w:color="auto"/>
        <w:left w:val="none" w:sz="0" w:space="0" w:color="auto"/>
        <w:bottom w:val="none" w:sz="0" w:space="0" w:color="auto"/>
        <w:right w:val="none" w:sz="0" w:space="0" w:color="auto"/>
      </w:divBdr>
    </w:div>
    <w:div w:id="329602805">
      <w:bodyDiv w:val="1"/>
      <w:marLeft w:val="0"/>
      <w:marRight w:val="0"/>
      <w:marTop w:val="0"/>
      <w:marBottom w:val="0"/>
      <w:divBdr>
        <w:top w:val="none" w:sz="0" w:space="0" w:color="auto"/>
        <w:left w:val="none" w:sz="0" w:space="0" w:color="auto"/>
        <w:bottom w:val="none" w:sz="0" w:space="0" w:color="auto"/>
        <w:right w:val="none" w:sz="0" w:space="0" w:color="auto"/>
      </w:divBdr>
    </w:div>
    <w:div w:id="340091052">
      <w:bodyDiv w:val="1"/>
      <w:marLeft w:val="0"/>
      <w:marRight w:val="0"/>
      <w:marTop w:val="0"/>
      <w:marBottom w:val="0"/>
      <w:divBdr>
        <w:top w:val="none" w:sz="0" w:space="0" w:color="auto"/>
        <w:left w:val="none" w:sz="0" w:space="0" w:color="auto"/>
        <w:bottom w:val="none" w:sz="0" w:space="0" w:color="auto"/>
        <w:right w:val="none" w:sz="0" w:space="0" w:color="auto"/>
      </w:divBdr>
    </w:div>
    <w:div w:id="361591796">
      <w:bodyDiv w:val="1"/>
      <w:marLeft w:val="0"/>
      <w:marRight w:val="0"/>
      <w:marTop w:val="0"/>
      <w:marBottom w:val="0"/>
      <w:divBdr>
        <w:top w:val="none" w:sz="0" w:space="0" w:color="auto"/>
        <w:left w:val="none" w:sz="0" w:space="0" w:color="auto"/>
        <w:bottom w:val="none" w:sz="0" w:space="0" w:color="auto"/>
        <w:right w:val="none" w:sz="0" w:space="0" w:color="auto"/>
      </w:divBdr>
    </w:div>
    <w:div w:id="373241088">
      <w:bodyDiv w:val="1"/>
      <w:marLeft w:val="0"/>
      <w:marRight w:val="0"/>
      <w:marTop w:val="0"/>
      <w:marBottom w:val="0"/>
      <w:divBdr>
        <w:top w:val="none" w:sz="0" w:space="0" w:color="auto"/>
        <w:left w:val="none" w:sz="0" w:space="0" w:color="auto"/>
        <w:bottom w:val="none" w:sz="0" w:space="0" w:color="auto"/>
        <w:right w:val="none" w:sz="0" w:space="0" w:color="auto"/>
      </w:divBdr>
    </w:div>
    <w:div w:id="406004274">
      <w:bodyDiv w:val="1"/>
      <w:marLeft w:val="0"/>
      <w:marRight w:val="0"/>
      <w:marTop w:val="0"/>
      <w:marBottom w:val="0"/>
      <w:divBdr>
        <w:top w:val="none" w:sz="0" w:space="0" w:color="auto"/>
        <w:left w:val="none" w:sz="0" w:space="0" w:color="auto"/>
        <w:bottom w:val="none" w:sz="0" w:space="0" w:color="auto"/>
        <w:right w:val="none" w:sz="0" w:space="0" w:color="auto"/>
      </w:divBdr>
    </w:div>
    <w:div w:id="409548240">
      <w:bodyDiv w:val="1"/>
      <w:marLeft w:val="0"/>
      <w:marRight w:val="0"/>
      <w:marTop w:val="0"/>
      <w:marBottom w:val="0"/>
      <w:divBdr>
        <w:top w:val="none" w:sz="0" w:space="0" w:color="auto"/>
        <w:left w:val="none" w:sz="0" w:space="0" w:color="auto"/>
        <w:bottom w:val="none" w:sz="0" w:space="0" w:color="auto"/>
        <w:right w:val="none" w:sz="0" w:space="0" w:color="auto"/>
      </w:divBdr>
    </w:div>
    <w:div w:id="424427739">
      <w:bodyDiv w:val="1"/>
      <w:marLeft w:val="0"/>
      <w:marRight w:val="0"/>
      <w:marTop w:val="0"/>
      <w:marBottom w:val="0"/>
      <w:divBdr>
        <w:top w:val="none" w:sz="0" w:space="0" w:color="auto"/>
        <w:left w:val="none" w:sz="0" w:space="0" w:color="auto"/>
        <w:bottom w:val="none" w:sz="0" w:space="0" w:color="auto"/>
        <w:right w:val="none" w:sz="0" w:space="0" w:color="auto"/>
      </w:divBdr>
    </w:div>
    <w:div w:id="437070804">
      <w:bodyDiv w:val="1"/>
      <w:marLeft w:val="0"/>
      <w:marRight w:val="0"/>
      <w:marTop w:val="0"/>
      <w:marBottom w:val="0"/>
      <w:divBdr>
        <w:top w:val="none" w:sz="0" w:space="0" w:color="auto"/>
        <w:left w:val="none" w:sz="0" w:space="0" w:color="auto"/>
        <w:bottom w:val="none" w:sz="0" w:space="0" w:color="auto"/>
        <w:right w:val="none" w:sz="0" w:space="0" w:color="auto"/>
      </w:divBdr>
    </w:div>
    <w:div w:id="465850902">
      <w:bodyDiv w:val="1"/>
      <w:marLeft w:val="0"/>
      <w:marRight w:val="0"/>
      <w:marTop w:val="0"/>
      <w:marBottom w:val="0"/>
      <w:divBdr>
        <w:top w:val="none" w:sz="0" w:space="0" w:color="auto"/>
        <w:left w:val="none" w:sz="0" w:space="0" w:color="auto"/>
        <w:bottom w:val="none" w:sz="0" w:space="0" w:color="auto"/>
        <w:right w:val="none" w:sz="0" w:space="0" w:color="auto"/>
      </w:divBdr>
    </w:div>
    <w:div w:id="474882520">
      <w:bodyDiv w:val="1"/>
      <w:marLeft w:val="0"/>
      <w:marRight w:val="0"/>
      <w:marTop w:val="0"/>
      <w:marBottom w:val="0"/>
      <w:divBdr>
        <w:top w:val="none" w:sz="0" w:space="0" w:color="auto"/>
        <w:left w:val="none" w:sz="0" w:space="0" w:color="auto"/>
        <w:bottom w:val="none" w:sz="0" w:space="0" w:color="auto"/>
        <w:right w:val="none" w:sz="0" w:space="0" w:color="auto"/>
      </w:divBdr>
    </w:div>
    <w:div w:id="491141929">
      <w:bodyDiv w:val="1"/>
      <w:marLeft w:val="0"/>
      <w:marRight w:val="0"/>
      <w:marTop w:val="0"/>
      <w:marBottom w:val="0"/>
      <w:divBdr>
        <w:top w:val="none" w:sz="0" w:space="0" w:color="auto"/>
        <w:left w:val="none" w:sz="0" w:space="0" w:color="auto"/>
        <w:bottom w:val="none" w:sz="0" w:space="0" w:color="auto"/>
        <w:right w:val="none" w:sz="0" w:space="0" w:color="auto"/>
      </w:divBdr>
    </w:div>
    <w:div w:id="528448368">
      <w:bodyDiv w:val="1"/>
      <w:marLeft w:val="0"/>
      <w:marRight w:val="0"/>
      <w:marTop w:val="0"/>
      <w:marBottom w:val="0"/>
      <w:divBdr>
        <w:top w:val="none" w:sz="0" w:space="0" w:color="auto"/>
        <w:left w:val="none" w:sz="0" w:space="0" w:color="auto"/>
        <w:bottom w:val="none" w:sz="0" w:space="0" w:color="auto"/>
        <w:right w:val="none" w:sz="0" w:space="0" w:color="auto"/>
      </w:divBdr>
    </w:div>
    <w:div w:id="575285379">
      <w:bodyDiv w:val="1"/>
      <w:marLeft w:val="0"/>
      <w:marRight w:val="0"/>
      <w:marTop w:val="0"/>
      <w:marBottom w:val="0"/>
      <w:divBdr>
        <w:top w:val="none" w:sz="0" w:space="0" w:color="auto"/>
        <w:left w:val="none" w:sz="0" w:space="0" w:color="auto"/>
        <w:bottom w:val="none" w:sz="0" w:space="0" w:color="auto"/>
        <w:right w:val="none" w:sz="0" w:space="0" w:color="auto"/>
      </w:divBdr>
    </w:div>
    <w:div w:id="603920650">
      <w:bodyDiv w:val="1"/>
      <w:marLeft w:val="0"/>
      <w:marRight w:val="0"/>
      <w:marTop w:val="0"/>
      <w:marBottom w:val="0"/>
      <w:divBdr>
        <w:top w:val="none" w:sz="0" w:space="0" w:color="auto"/>
        <w:left w:val="none" w:sz="0" w:space="0" w:color="auto"/>
        <w:bottom w:val="none" w:sz="0" w:space="0" w:color="auto"/>
        <w:right w:val="none" w:sz="0" w:space="0" w:color="auto"/>
      </w:divBdr>
    </w:div>
    <w:div w:id="620459543">
      <w:bodyDiv w:val="1"/>
      <w:marLeft w:val="0"/>
      <w:marRight w:val="0"/>
      <w:marTop w:val="0"/>
      <w:marBottom w:val="0"/>
      <w:divBdr>
        <w:top w:val="none" w:sz="0" w:space="0" w:color="auto"/>
        <w:left w:val="none" w:sz="0" w:space="0" w:color="auto"/>
        <w:bottom w:val="none" w:sz="0" w:space="0" w:color="auto"/>
        <w:right w:val="none" w:sz="0" w:space="0" w:color="auto"/>
      </w:divBdr>
    </w:div>
    <w:div w:id="647052258">
      <w:bodyDiv w:val="1"/>
      <w:marLeft w:val="0"/>
      <w:marRight w:val="0"/>
      <w:marTop w:val="0"/>
      <w:marBottom w:val="0"/>
      <w:divBdr>
        <w:top w:val="none" w:sz="0" w:space="0" w:color="auto"/>
        <w:left w:val="none" w:sz="0" w:space="0" w:color="auto"/>
        <w:bottom w:val="none" w:sz="0" w:space="0" w:color="auto"/>
        <w:right w:val="none" w:sz="0" w:space="0" w:color="auto"/>
      </w:divBdr>
    </w:div>
    <w:div w:id="673075820">
      <w:bodyDiv w:val="1"/>
      <w:marLeft w:val="0"/>
      <w:marRight w:val="0"/>
      <w:marTop w:val="0"/>
      <w:marBottom w:val="0"/>
      <w:divBdr>
        <w:top w:val="none" w:sz="0" w:space="0" w:color="auto"/>
        <w:left w:val="none" w:sz="0" w:space="0" w:color="auto"/>
        <w:bottom w:val="none" w:sz="0" w:space="0" w:color="auto"/>
        <w:right w:val="none" w:sz="0" w:space="0" w:color="auto"/>
      </w:divBdr>
    </w:div>
    <w:div w:id="679545857">
      <w:bodyDiv w:val="1"/>
      <w:marLeft w:val="0"/>
      <w:marRight w:val="0"/>
      <w:marTop w:val="0"/>
      <w:marBottom w:val="0"/>
      <w:divBdr>
        <w:top w:val="none" w:sz="0" w:space="0" w:color="auto"/>
        <w:left w:val="none" w:sz="0" w:space="0" w:color="auto"/>
        <w:bottom w:val="none" w:sz="0" w:space="0" w:color="auto"/>
        <w:right w:val="none" w:sz="0" w:space="0" w:color="auto"/>
      </w:divBdr>
    </w:div>
    <w:div w:id="719600100">
      <w:bodyDiv w:val="1"/>
      <w:marLeft w:val="0"/>
      <w:marRight w:val="0"/>
      <w:marTop w:val="0"/>
      <w:marBottom w:val="0"/>
      <w:divBdr>
        <w:top w:val="none" w:sz="0" w:space="0" w:color="auto"/>
        <w:left w:val="none" w:sz="0" w:space="0" w:color="auto"/>
        <w:bottom w:val="none" w:sz="0" w:space="0" w:color="auto"/>
        <w:right w:val="none" w:sz="0" w:space="0" w:color="auto"/>
      </w:divBdr>
    </w:div>
    <w:div w:id="721633139">
      <w:bodyDiv w:val="1"/>
      <w:marLeft w:val="0"/>
      <w:marRight w:val="0"/>
      <w:marTop w:val="0"/>
      <w:marBottom w:val="0"/>
      <w:divBdr>
        <w:top w:val="none" w:sz="0" w:space="0" w:color="auto"/>
        <w:left w:val="none" w:sz="0" w:space="0" w:color="auto"/>
        <w:bottom w:val="none" w:sz="0" w:space="0" w:color="auto"/>
        <w:right w:val="none" w:sz="0" w:space="0" w:color="auto"/>
      </w:divBdr>
    </w:div>
    <w:div w:id="725832859">
      <w:bodyDiv w:val="1"/>
      <w:marLeft w:val="0"/>
      <w:marRight w:val="0"/>
      <w:marTop w:val="0"/>
      <w:marBottom w:val="0"/>
      <w:divBdr>
        <w:top w:val="none" w:sz="0" w:space="0" w:color="auto"/>
        <w:left w:val="none" w:sz="0" w:space="0" w:color="auto"/>
        <w:bottom w:val="none" w:sz="0" w:space="0" w:color="auto"/>
        <w:right w:val="none" w:sz="0" w:space="0" w:color="auto"/>
      </w:divBdr>
    </w:div>
    <w:div w:id="735514591">
      <w:bodyDiv w:val="1"/>
      <w:marLeft w:val="0"/>
      <w:marRight w:val="0"/>
      <w:marTop w:val="0"/>
      <w:marBottom w:val="0"/>
      <w:divBdr>
        <w:top w:val="none" w:sz="0" w:space="0" w:color="auto"/>
        <w:left w:val="none" w:sz="0" w:space="0" w:color="auto"/>
        <w:bottom w:val="none" w:sz="0" w:space="0" w:color="auto"/>
        <w:right w:val="none" w:sz="0" w:space="0" w:color="auto"/>
      </w:divBdr>
    </w:div>
    <w:div w:id="749933691">
      <w:bodyDiv w:val="1"/>
      <w:marLeft w:val="0"/>
      <w:marRight w:val="0"/>
      <w:marTop w:val="0"/>
      <w:marBottom w:val="0"/>
      <w:divBdr>
        <w:top w:val="none" w:sz="0" w:space="0" w:color="auto"/>
        <w:left w:val="none" w:sz="0" w:space="0" w:color="auto"/>
        <w:bottom w:val="none" w:sz="0" w:space="0" w:color="auto"/>
        <w:right w:val="none" w:sz="0" w:space="0" w:color="auto"/>
      </w:divBdr>
    </w:div>
    <w:div w:id="772868932">
      <w:bodyDiv w:val="1"/>
      <w:marLeft w:val="0"/>
      <w:marRight w:val="0"/>
      <w:marTop w:val="0"/>
      <w:marBottom w:val="0"/>
      <w:divBdr>
        <w:top w:val="none" w:sz="0" w:space="0" w:color="auto"/>
        <w:left w:val="none" w:sz="0" w:space="0" w:color="auto"/>
        <w:bottom w:val="none" w:sz="0" w:space="0" w:color="auto"/>
        <w:right w:val="none" w:sz="0" w:space="0" w:color="auto"/>
      </w:divBdr>
    </w:div>
    <w:div w:id="774525025">
      <w:bodyDiv w:val="1"/>
      <w:marLeft w:val="0"/>
      <w:marRight w:val="0"/>
      <w:marTop w:val="0"/>
      <w:marBottom w:val="0"/>
      <w:divBdr>
        <w:top w:val="none" w:sz="0" w:space="0" w:color="auto"/>
        <w:left w:val="none" w:sz="0" w:space="0" w:color="auto"/>
        <w:bottom w:val="none" w:sz="0" w:space="0" w:color="auto"/>
        <w:right w:val="none" w:sz="0" w:space="0" w:color="auto"/>
      </w:divBdr>
    </w:div>
    <w:div w:id="782845946">
      <w:bodyDiv w:val="1"/>
      <w:marLeft w:val="0"/>
      <w:marRight w:val="0"/>
      <w:marTop w:val="0"/>
      <w:marBottom w:val="0"/>
      <w:divBdr>
        <w:top w:val="none" w:sz="0" w:space="0" w:color="auto"/>
        <w:left w:val="none" w:sz="0" w:space="0" w:color="auto"/>
        <w:bottom w:val="none" w:sz="0" w:space="0" w:color="auto"/>
        <w:right w:val="none" w:sz="0" w:space="0" w:color="auto"/>
      </w:divBdr>
    </w:div>
    <w:div w:id="783424888">
      <w:bodyDiv w:val="1"/>
      <w:marLeft w:val="0"/>
      <w:marRight w:val="0"/>
      <w:marTop w:val="0"/>
      <w:marBottom w:val="0"/>
      <w:divBdr>
        <w:top w:val="none" w:sz="0" w:space="0" w:color="auto"/>
        <w:left w:val="none" w:sz="0" w:space="0" w:color="auto"/>
        <w:bottom w:val="none" w:sz="0" w:space="0" w:color="auto"/>
        <w:right w:val="none" w:sz="0" w:space="0" w:color="auto"/>
      </w:divBdr>
    </w:div>
    <w:div w:id="788400662">
      <w:bodyDiv w:val="1"/>
      <w:marLeft w:val="0"/>
      <w:marRight w:val="0"/>
      <w:marTop w:val="0"/>
      <w:marBottom w:val="0"/>
      <w:divBdr>
        <w:top w:val="none" w:sz="0" w:space="0" w:color="auto"/>
        <w:left w:val="none" w:sz="0" w:space="0" w:color="auto"/>
        <w:bottom w:val="none" w:sz="0" w:space="0" w:color="auto"/>
        <w:right w:val="none" w:sz="0" w:space="0" w:color="auto"/>
      </w:divBdr>
    </w:div>
    <w:div w:id="808329753">
      <w:bodyDiv w:val="1"/>
      <w:marLeft w:val="0"/>
      <w:marRight w:val="0"/>
      <w:marTop w:val="0"/>
      <w:marBottom w:val="0"/>
      <w:divBdr>
        <w:top w:val="none" w:sz="0" w:space="0" w:color="auto"/>
        <w:left w:val="none" w:sz="0" w:space="0" w:color="auto"/>
        <w:bottom w:val="none" w:sz="0" w:space="0" w:color="auto"/>
        <w:right w:val="none" w:sz="0" w:space="0" w:color="auto"/>
      </w:divBdr>
    </w:div>
    <w:div w:id="831455872">
      <w:bodyDiv w:val="1"/>
      <w:marLeft w:val="0"/>
      <w:marRight w:val="0"/>
      <w:marTop w:val="0"/>
      <w:marBottom w:val="0"/>
      <w:divBdr>
        <w:top w:val="none" w:sz="0" w:space="0" w:color="auto"/>
        <w:left w:val="none" w:sz="0" w:space="0" w:color="auto"/>
        <w:bottom w:val="none" w:sz="0" w:space="0" w:color="auto"/>
        <w:right w:val="none" w:sz="0" w:space="0" w:color="auto"/>
      </w:divBdr>
    </w:div>
    <w:div w:id="836261264">
      <w:bodyDiv w:val="1"/>
      <w:marLeft w:val="0"/>
      <w:marRight w:val="0"/>
      <w:marTop w:val="0"/>
      <w:marBottom w:val="0"/>
      <w:divBdr>
        <w:top w:val="none" w:sz="0" w:space="0" w:color="auto"/>
        <w:left w:val="none" w:sz="0" w:space="0" w:color="auto"/>
        <w:bottom w:val="none" w:sz="0" w:space="0" w:color="auto"/>
        <w:right w:val="none" w:sz="0" w:space="0" w:color="auto"/>
      </w:divBdr>
    </w:div>
    <w:div w:id="906767269">
      <w:bodyDiv w:val="1"/>
      <w:marLeft w:val="0"/>
      <w:marRight w:val="0"/>
      <w:marTop w:val="0"/>
      <w:marBottom w:val="0"/>
      <w:divBdr>
        <w:top w:val="none" w:sz="0" w:space="0" w:color="auto"/>
        <w:left w:val="none" w:sz="0" w:space="0" w:color="auto"/>
        <w:bottom w:val="none" w:sz="0" w:space="0" w:color="auto"/>
        <w:right w:val="none" w:sz="0" w:space="0" w:color="auto"/>
      </w:divBdr>
    </w:div>
    <w:div w:id="937296539">
      <w:bodyDiv w:val="1"/>
      <w:marLeft w:val="0"/>
      <w:marRight w:val="0"/>
      <w:marTop w:val="0"/>
      <w:marBottom w:val="0"/>
      <w:divBdr>
        <w:top w:val="none" w:sz="0" w:space="0" w:color="auto"/>
        <w:left w:val="none" w:sz="0" w:space="0" w:color="auto"/>
        <w:bottom w:val="none" w:sz="0" w:space="0" w:color="auto"/>
        <w:right w:val="none" w:sz="0" w:space="0" w:color="auto"/>
      </w:divBdr>
    </w:div>
    <w:div w:id="943152750">
      <w:bodyDiv w:val="1"/>
      <w:marLeft w:val="0"/>
      <w:marRight w:val="0"/>
      <w:marTop w:val="0"/>
      <w:marBottom w:val="0"/>
      <w:divBdr>
        <w:top w:val="none" w:sz="0" w:space="0" w:color="auto"/>
        <w:left w:val="none" w:sz="0" w:space="0" w:color="auto"/>
        <w:bottom w:val="none" w:sz="0" w:space="0" w:color="auto"/>
        <w:right w:val="none" w:sz="0" w:space="0" w:color="auto"/>
      </w:divBdr>
    </w:div>
    <w:div w:id="953900131">
      <w:bodyDiv w:val="1"/>
      <w:marLeft w:val="0"/>
      <w:marRight w:val="0"/>
      <w:marTop w:val="0"/>
      <w:marBottom w:val="0"/>
      <w:divBdr>
        <w:top w:val="none" w:sz="0" w:space="0" w:color="auto"/>
        <w:left w:val="none" w:sz="0" w:space="0" w:color="auto"/>
        <w:bottom w:val="none" w:sz="0" w:space="0" w:color="auto"/>
        <w:right w:val="none" w:sz="0" w:space="0" w:color="auto"/>
      </w:divBdr>
    </w:div>
    <w:div w:id="970865894">
      <w:bodyDiv w:val="1"/>
      <w:marLeft w:val="0"/>
      <w:marRight w:val="0"/>
      <w:marTop w:val="0"/>
      <w:marBottom w:val="0"/>
      <w:divBdr>
        <w:top w:val="none" w:sz="0" w:space="0" w:color="auto"/>
        <w:left w:val="none" w:sz="0" w:space="0" w:color="auto"/>
        <w:bottom w:val="none" w:sz="0" w:space="0" w:color="auto"/>
        <w:right w:val="none" w:sz="0" w:space="0" w:color="auto"/>
      </w:divBdr>
    </w:div>
    <w:div w:id="971255711">
      <w:bodyDiv w:val="1"/>
      <w:marLeft w:val="0"/>
      <w:marRight w:val="0"/>
      <w:marTop w:val="0"/>
      <w:marBottom w:val="0"/>
      <w:divBdr>
        <w:top w:val="none" w:sz="0" w:space="0" w:color="auto"/>
        <w:left w:val="none" w:sz="0" w:space="0" w:color="auto"/>
        <w:bottom w:val="none" w:sz="0" w:space="0" w:color="auto"/>
        <w:right w:val="none" w:sz="0" w:space="0" w:color="auto"/>
      </w:divBdr>
    </w:div>
    <w:div w:id="994990813">
      <w:bodyDiv w:val="1"/>
      <w:marLeft w:val="0"/>
      <w:marRight w:val="0"/>
      <w:marTop w:val="0"/>
      <w:marBottom w:val="0"/>
      <w:divBdr>
        <w:top w:val="none" w:sz="0" w:space="0" w:color="auto"/>
        <w:left w:val="none" w:sz="0" w:space="0" w:color="auto"/>
        <w:bottom w:val="none" w:sz="0" w:space="0" w:color="auto"/>
        <w:right w:val="none" w:sz="0" w:space="0" w:color="auto"/>
      </w:divBdr>
    </w:div>
    <w:div w:id="997998355">
      <w:bodyDiv w:val="1"/>
      <w:marLeft w:val="0"/>
      <w:marRight w:val="0"/>
      <w:marTop w:val="0"/>
      <w:marBottom w:val="0"/>
      <w:divBdr>
        <w:top w:val="none" w:sz="0" w:space="0" w:color="auto"/>
        <w:left w:val="none" w:sz="0" w:space="0" w:color="auto"/>
        <w:bottom w:val="none" w:sz="0" w:space="0" w:color="auto"/>
        <w:right w:val="none" w:sz="0" w:space="0" w:color="auto"/>
      </w:divBdr>
    </w:div>
    <w:div w:id="998727238">
      <w:bodyDiv w:val="1"/>
      <w:marLeft w:val="0"/>
      <w:marRight w:val="0"/>
      <w:marTop w:val="0"/>
      <w:marBottom w:val="0"/>
      <w:divBdr>
        <w:top w:val="none" w:sz="0" w:space="0" w:color="auto"/>
        <w:left w:val="none" w:sz="0" w:space="0" w:color="auto"/>
        <w:bottom w:val="none" w:sz="0" w:space="0" w:color="auto"/>
        <w:right w:val="none" w:sz="0" w:space="0" w:color="auto"/>
      </w:divBdr>
    </w:div>
    <w:div w:id="1023480323">
      <w:bodyDiv w:val="1"/>
      <w:marLeft w:val="0"/>
      <w:marRight w:val="0"/>
      <w:marTop w:val="0"/>
      <w:marBottom w:val="0"/>
      <w:divBdr>
        <w:top w:val="none" w:sz="0" w:space="0" w:color="auto"/>
        <w:left w:val="none" w:sz="0" w:space="0" w:color="auto"/>
        <w:bottom w:val="none" w:sz="0" w:space="0" w:color="auto"/>
        <w:right w:val="none" w:sz="0" w:space="0" w:color="auto"/>
      </w:divBdr>
    </w:div>
    <w:div w:id="1027174920">
      <w:bodyDiv w:val="1"/>
      <w:marLeft w:val="0"/>
      <w:marRight w:val="0"/>
      <w:marTop w:val="0"/>
      <w:marBottom w:val="0"/>
      <w:divBdr>
        <w:top w:val="none" w:sz="0" w:space="0" w:color="auto"/>
        <w:left w:val="none" w:sz="0" w:space="0" w:color="auto"/>
        <w:bottom w:val="none" w:sz="0" w:space="0" w:color="auto"/>
        <w:right w:val="none" w:sz="0" w:space="0" w:color="auto"/>
      </w:divBdr>
    </w:div>
    <w:div w:id="1040713120">
      <w:bodyDiv w:val="1"/>
      <w:marLeft w:val="0"/>
      <w:marRight w:val="0"/>
      <w:marTop w:val="0"/>
      <w:marBottom w:val="0"/>
      <w:divBdr>
        <w:top w:val="none" w:sz="0" w:space="0" w:color="auto"/>
        <w:left w:val="none" w:sz="0" w:space="0" w:color="auto"/>
        <w:bottom w:val="none" w:sz="0" w:space="0" w:color="auto"/>
        <w:right w:val="none" w:sz="0" w:space="0" w:color="auto"/>
      </w:divBdr>
    </w:div>
    <w:div w:id="1122766068">
      <w:bodyDiv w:val="1"/>
      <w:marLeft w:val="0"/>
      <w:marRight w:val="0"/>
      <w:marTop w:val="0"/>
      <w:marBottom w:val="0"/>
      <w:divBdr>
        <w:top w:val="none" w:sz="0" w:space="0" w:color="auto"/>
        <w:left w:val="none" w:sz="0" w:space="0" w:color="auto"/>
        <w:bottom w:val="none" w:sz="0" w:space="0" w:color="auto"/>
        <w:right w:val="none" w:sz="0" w:space="0" w:color="auto"/>
      </w:divBdr>
    </w:div>
    <w:div w:id="1140265007">
      <w:bodyDiv w:val="1"/>
      <w:marLeft w:val="0"/>
      <w:marRight w:val="0"/>
      <w:marTop w:val="0"/>
      <w:marBottom w:val="0"/>
      <w:divBdr>
        <w:top w:val="none" w:sz="0" w:space="0" w:color="auto"/>
        <w:left w:val="none" w:sz="0" w:space="0" w:color="auto"/>
        <w:bottom w:val="none" w:sz="0" w:space="0" w:color="auto"/>
        <w:right w:val="none" w:sz="0" w:space="0" w:color="auto"/>
      </w:divBdr>
    </w:div>
    <w:div w:id="1159493742">
      <w:bodyDiv w:val="1"/>
      <w:marLeft w:val="0"/>
      <w:marRight w:val="0"/>
      <w:marTop w:val="0"/>
      <w:marBottom w:val="0"/>
      <w:divBdr>
        <w:top w:val="none" w:sz="0" w:space="0" w:color="auto"/>
        <w:left w:val="none" w:sz="0" w:space="0" w:color="auto"/>
        <w:bottom w:val="none" w:sz="0" w:space="0" w:color="auto"/>
        <w:right w:val="none" w:sz="0" w:space="0" w:color="auto"/>
      </w:divBdr>
    </w:div>
    <w:div w:id="1184981084">
      <w:bodyDiv w:val="1"/>
      <w:marLeft w:val="0"/>
      <w:marRight w:val="0"/>
      <w:marTop w:val="0"/>
      <w:marBottom w:val="0"/>
      <w:divBdr>
        <w:top w:val="none" w:sz="0" w:space="0" w:color="auto"/>
        <w:left w:val="none" w:sz="0" w:space="0" w:color="auto"/>
        <w:bottom w:val="none" w:sz="0" w:space="0" w:color="auto"/>
        <w:right w:val="none" w:sz="0" w:space="0" w:color="auto"/>
      </w:divBdr>
    </w:div>
    <w:div w:id="1192914406">
      <w:bodyDiv w:val="1"/>
      <w:marLeft w:val="0"/>
      <w:marRight w:val="0"/>
      <w:marTop w:val="0"/>
      <w:marBottom w:val="0"/>
      <w:divBdr>
        <w:top w:val="none" w:sz="0" w:space="0" w:color="auto"/>
        <w:left w:val="none" w:sz="0" w:space="0" w:color="auto"/>
        <w:bottom w:val="none" w:sz="0" w:space="0" w:color="auto"/>
        <w:right w:val="none" w:sz="0" w:space="0" w:color="auto"/>
      </w:divBdr>
    </w:div>
    <w:div w:id="1199316867">
      <w:bodyDiv w:val="1"/>
      <w:marLeft w:val="0"/>
      <w:marRight w:val="0"/>
      <w:marTop w:val="0"/>
      <w:marBottom w:val="0"/>
      <w:divBdr>
        <w:top w:val="none" w:sz="0" w:space="0" w:color="auto"/>
        <w:left w:val="none" w:sz="0" w:space="0" w:color="auto"/>
        <w:bottom w:val="none" w:sz="0" w:space="0" w:color="auto"/>
        <w:right w:val="none" w:sz="0" w:space="0" w:color="auto"/>
      </w:divBdr>
    </w:div>
    <w:div w:id="1200241268">
      <w:bodyDiv w:val="1"/>
      <w:marLeft w:val="0"/>
      <w:marRight w:val="0"/>
      <w:marTop w:val="0"/>
      <w:marBottom w:val="0"/>
      <w:divBdr>
        <w:top w:val="none" w:sz="0" w:space="0" w:color="auto"/>
        <w:left w:val="none" w:sz="0" w:space="0" w:color="auto"/>
        <w:bottom w:val="none" w:sz="0" w:space="0" w:color="auto"/>
        <w:right w:val="none" w:sz="0" w:space="0" w:color="auto"/>
      </w:divBdr>
    </w:div>
    <w:div w:id="1235621544">
      <w:bodyDiv w:val="1"/>
      <w:marLeft w:val="0"/>
      <w:marRight w:val="0"/>
      <w:marTop w:val="0"/>
      <w:marBottom w:val="0"/>
      <w:divBdr>
        <w:top w:val="none" w:sz="0" w:space="0" w:color="auto"/>
        <w:left w:val="none" w:sz="0" w:space="0" w:color="auto"/>
        <w:bottom w:val="none" w:sz="0" w:space="0" w:color="auto"/>
        <w:right w:val="none" w:sz="0" w:space="0" w:color="auto"/>
      </w:divBdr>
    </w:div>
    <w:div w:id="1237395750">
      <w:bodyDiv w:val="1"/>
      <w:marLeft w:val="0"/>
      <w:marRight w:val="0"/>
      <w:marTop w:val="0"/>
      <w:marBottom w:val="0"/>
      <w:divBdr>
        <w:top w:val="none" w:sz="0" w:space="0" w:color="auto"/>
        <w:left w:val="none" w:sz="0" w:space="0" w:color="auto"/>
        <w:bottom w:val="none" w:sz="0" w:space="0" w:color="auto"/>
        <w:right w:val="none" w:sz="0" w:space="0" w:color="auto"/>
      </w:divBdr>
    </w:div>
    <w:div w:id="1239369093">
      <w:bodyDiv w:val="1"/>
      <w:marLeft w:val="0"/>
      <w:marRight w:val="0"/>
      <w:marTop w:val="0"/>
      <w:marBottom w:val="0"/>
      <w:divBdr>
        <w:top w:val="none" w:sz="0" w:space="0" w:color="auto"/>
        <w:left w:val="none" w:sz="0" w:space="0" w:color="auto"/>
        <w:bottom w:val="none" w:sz="0" w:space="0" w:color="auto"/>
        <w:right w:val="none" w:sz="0" w:space="0" w:color="auto"/>
      </w:divBdr>
    </w:div>
    <w:div w:id="1260798263">
      <w:bodyDiv w:val="1"/>
      <w:marLeft w:val="0"/>
      <w:marRight w:val="0"/>
      <w:marTop w:val="0"/>
      <w:marBottom w:val="0"/>
      <w:divBdr>
        <w:top w:val="none" w:sz="0" w:space="0" w:color="auto"/>
        <w:left w:val="none" w:sz="0" w:space="0" w:color="auto"/>
        <w:bottom w:val="none" w:sz="0" w:space="0" w:color="auto"/>
        <w:right w:val="none" w:sz="0" w:space="0" w:color="auto"/>
      </w:divBdr>
    </w:div>
    <w:div w:id="1267495173">
      <w:bodyDiv w:val="1"/>
      <w:marLeft w:val="0"/>
      <w:marRight w:val="0"/>
      <w:marTop w:val="0"/>
      <w:marBottom w:val="0"/>
      <w:divBdr>
        <w:top w:val="none" w:sz="0" w:space="0" w:color="auto"/>
        <w:left w:val="none" w:sz="0" w:space="0" w:color="auto"/>
        <w:bottom w:val="none" w:sz="0" w:space="0" w:color="auto"/>
        <w:right w:val="none" w:sz="0" w:space="0" w:color="auto"/>
      </w:divBdr>
    </w:div>
    <w:div w:id="1272132764">
      <w:bodyDiv w:val="1"/>
      <w:marLeft w:val="0"/>
      <w:marRight w:val="0"/>
      <w:marTop w:val="0"/>
      <w:marBottom w:val="0"/>
      <w:divBdr>
        <w:top w:val="none" w:sz="0" w:space="0" w:color="auto"/>
        <w:left w:val="none" w:sz="0" w:space="0" w:color="auto"/>
        <w:bottom w:val="none" w:sz="0" w:space="0" w:color="auto"/>
        <w:right w:val="none" w:sz="0" w:space="0" w:color="auto"/>
      </w:divBdr>
    </w:div>
    <w:div w:id="1274246530">
      <w:bodyDiv w:val="1"/>
      <w:marLeft w:val="0"/>
      <w:marRight w:val="0"/>
      <w:marTop w:val="0"/>
      <w:marBottom w:val="0"/>
      <w:divBdr>
        <w:top w:val="none" w:sz="0" w:space="0" w:color="auto"/>
        <w:left w:val="none" w:sz="0" w:space="0" w:color="auto"/>
        <w:bottom w:val="none" w:sz="0" w:space="0" w:color="auto"/>
        <w:right w:val="none" w:sz="0" w:space="0" w:color="auto"/>
      </w:divBdr>
    </w:div>
    <w:div w:id="1297300397">
      <w:bodyDiv w:val="1"/>
      <w:marLeft w:val="0"/>
      <w:marRight w:val="0"/>
      <w:marTop w:val="0"/>
      <w:marBottom w:val="0"/>
      <w:divBdr>
        <w:top w:val="none" w:sz="0" w:space="0" w:color="auto"/>
        <w:left w:val="none" w:sz="0" w:space="0" w:color="auto"/>
        <w:bottom w:val="none" w:sz="0" w:space="0" w:color="auto"/>
        <w:right w:val="none" w:sz="0" w:space="0" w:color="auto"/>
      </w:divBdr>
    </w:div>
    <w:div w:id="1300723929">
      <w:bodyDiv w:val="1"/>
      <w:marLeft w:val="0"/>
      <w:marRight w:val="0"/>
      <w:marTop w:val="0"/>
      <w:marBottom w:val="0"/>
      <w:divBdr>
        <w:top w:val="none" w:sz="0" w:space="0" w:color="auto"/>
        <w:left w:val="none" w:sz="0" w:space="0" w:color="auto"/>
        <w:bottom w:val="none" w:sz="0" w:space="0" w:color="auto"/>
        <w:right w:val="none" w:sz="0" w:space="0" w:color="auto"/>
      </w:divBdr>
    </w:div>
    <w:div w:id="1310550304">
      <w:bodyDiv w:val="1"/>
      <w:marLeft w:val="0"/>
      <w:marRight w:val="0"/>
      <w:marTop w:val="0"/>
      <w:marBottom w:val="0"/>
      <w:divBdr>
        <w:top w:val="none" w:sz="0" w:space="0" w:color="auto"/>
        <w:left w:val="none" w:sz="0" w:space="0" w:color="auto"/>
        <w:bottom w:val="none" w:sz="0" w:space="0" w:color="auto"/>
        <w:right w:val="none" w:sz="0" w:space="0" w:color="auto"/>
      </w:divBdr>
    </w:div>
    <w:div w:id="1311252024">
      <w:bodyDiv w:val="1"/>
      <w:marLeft w:val="0"/>
      <w:marRight w:val="0"/>
      <w:marTop w:val="0"/>
      <w:marBottom w:val="0"/>
      <w:divBdr>
        <w:top w:val="none" w:sz="0" w:space="0" w:color="auto"/>
        <w:left w:val="none" w:sz="0" w:space="0" w:color="auto"/>
        <w:bottom w:val="none" w:sz="0" w:space="0" w:color="auto"/>
        <w:right w:val="none" w:sz="0" w:space="0" w:color="auto"/>
      </w:divBdr>
    </w:div>
    <w:div w:id="1315791412">
      <w:bodyDiv w:val="1"/>
      <w:marLeft w:val="0"/>
      <w:marRight w:val="0"/>
      <w:marTop w:val="0"/>
      <w:marBottom w:val="0"/>
      <w:divBdr>
        <w:top w:val="none" w:sz="0" w:space="0" w:color="auto"/>
        <w:left w:val="none" w:sz="0" w:space="0" w:color="auto"/>
        <w:bottom w:val="none" w:sz="0" w:space="0" w:color="auto"/>
        <w:right w:val="none" w:sz="0" w:space="0" w:color="auto"/>
      </w:divBdr>
    </w:div>
    <w:div w:id="1316371042">
      <w:bodyDiv w:val="1"/>
      <w:marLeft w:val="0"/>
      <w:marRight w:val="0"/>
      <w:marTop w:val="0"/>
      <w:marBottom w:val="0"/>
      <w:divBdr>
        <w:top w:val="none" w:sz="0" w:space="0" w:color="auto"/>
        <w:left w:val="none" w:sz="0" w:space="0" w:color="auto"/>
        <w:bottom w:val="none" w:sz="0" w:space="0" w:color="auto"/>
        <w:right w:val="none" w:sz="0" w:space="0" w:color="auto"/>
      </w:divBdr>
    </w:div>
    <w:div w:id="1319531639">
      <w:bodyDiv w:val="1"/>
      <w:marLeft w:val="0"/>
      <w:marRight w:val="0"/>
      <w:marTop w:val="0"/>
      <w:marBottom w:val="0"/>
      <w:divBdr>
        <w:top w:val="none" w:sz="0" w:space="0" w:color="auto"/>
        <w:left w:val="none" w:sz="0" w:space="0" w:color="auto"/>
        <w:bottom w:val="none" w:sz="0" w:space="0" w:color="auto"/>
        <w:right w:val="none" w:sz="0" w:space="0" w:color="auto"/>
      </w:divBdr>
    </w:div>
    <w:div w:id="1334338675">
      <w:bodyDiv w:val="1"/>
      <w:marLeft w:val="0"/>
      <w:marRight w:val="0"/>
      <w:marTop w:val="0"/>
      <w:marBottom w:val="0"/>
      <w:divBdr>
        <w:top w:val="none" w:sz="0" w:space="0" w:color="auto"/>
        <w:left w:val="none" w:sz="0" w:space="0" w:color="auto"/>
        <w:bottom w:val="none" w:sz="0" w:space="0" w:color="auto"/>
        <w:right w:val="none" w:sz="0" w:space="0" w:color="auto"/>
      </w:divBdr>
    </w:div>
    <w:div w:id="1335494328">
      <w:bodyDiv w:val="1"/>
      <w:marLeft w:val="0"/>
      <w:marRight w:val="0"/>
      <w:marTop w:val="0"/>
      <w:marBottom w:val="0"/>
      <w:divBdr>
        <w:top w:val="none" w:sz="0" w:space="0" w:color="auto"/>
        <w:left w:val="none" w:sz="0" w:space="0" w:color="auto"/>
        <w:bottom w:val="none" w:sz="0" w:space="0" w:color="auto"/>
        <w:right w:val="none" w:sz="0" w:space="0" w:color="auto"/>
      </w:divBdr>
    </w:div>
    <w:div w:id="1348866394">
      <w:bodyDiv w:val="1"/>
      <w:marLeft w:val="0"/>
      <w:marRight w:val="0"/>
      <w:marTop w:val="0"/>
      <w:marBottom w:val="0"/>
      <w:divBdr>
        <w:top w:val="none" w:sz="0" w:space="0" w:color="auto"/>
        <w:left w:val="none" w:sz="0" w:space="0" w:color="auto"/>
        <w:bottom w:val="none" w:sz="0" w:space="0" w:color="auto"/>
        <w:right w:val="none" w:sz="0" w:space="0" w:color="auto"/>
      </w:divBdr>
    </w:div>
    <w:div w:id="1351952047">
      <w:bodyDiv w:val="1"/>
      <w:marLeft w:val="0"/>
      <w:marRight w:val="0"/>
      <w:marTop w:val="0"/>
      <w:marBottom w:val="0"/>
      <w:divBdr>
        <w:top w:val="none" w:sz="0" w:space="0" w:color="auto"/>
        <w:left w:val="none" w:sz="0" w:space="0" w:color="auto"/>
        <w:bottom w:val="none" w:sz="0" w:space="0" w:color="auto"/>
        <w:right w:val="none" w:sz="0" w:space="0" w:color="auto"/>
      </w:divBdr>
    </w:div>
    <w:div w:id="1357929754">
      <w:bodyDiv w:val="1"/>
      <w:marLeft w:val="0"/>
      <w:marRight w:val="0"/>
      <w:marTop w:val="0"/>
      <w:marBottom w:val="0"/>
      <w:divBdr>
        <w:top w:val="none" w:sz="0" w:space="0" w:color="auto"/>
        <w:left w:val="none" w:sz="0" w:space="0" w:color="auto"/>
        <w:bottom w:val="none" w:sz="0" w:space="0" w:color="auto"/>
        <w:right w:val="none" w:sz="0" w:space="0" w:color="auto"/>
      </w:divBdr>
    </w:div>
    <w:div w:id="1360010563">
      <w:bodyDiv w:val="1"/>
      <w:marLeft w:val="0"/>
      <w:marRight w:val="0"/>
      <w:marTop w:val="0"/>
      <w:marBottom w:val="0"/>
      <w:divBdr>
        <w:top w:val="none" w:sz="0" w:space="0" w:color="auto"/>
        <w:left w:val="none" w:sz="0" w:space="0" w:color="auto"/>
        <w:bottom w:val="none" w:sz="0" w:space="0" w:color="auto"/>
        <w:right w:val="none" w:sz="0" w:space="0" w:color="auto"/>
      </w:divBdr>
    </w:div>
    <w:div w:id="1385062202">
      <w:bodyDiv w:val="1"/>
      <w:marLeft w:val="0"/>
      <w:marRight w:val="0"/>
      <w:marTop w:val="0"/>
      <w:marBottom w:val="0"/>
      <w:divBdr>
        <w:top w:val="none" w:sz="0" w:space="0" w:color="auto"/>
        <w:left w:val="none" w:sz="0" w:space="0" w:color="auto"/>
        <w:bottom w:val="none" w:sz="0" w:space="0" w:color="auto"/>
        <w:right w:val="none" w:sz="0" w:space="0" w:color="auto"/>
      </w:divBdr>
    </w:div>
    <w:div w:id="1385638790">
      <w:bodyDiv w:val="1"/>
      <w:marLeft w:val="0"/>
      <w:marRight w:val="0"/>
      <w:marTop w:val="0"/>
      <w:marBottom w:val="0"/>
      <w:divBdr>
        <w:top w:val="none" w:sz="0" w:space="0" w:color="auto"/>
        <w:left w:val="none" w:sz="0" w:space="0" w:color="auto"/>
        <w:bottom w:val="none" w:sz="0" w:space="0" w:color="auto"/>
        <w:right w:val="none" w:sz="0" w:space="0" w:color="auto"/>
      </w:divBdr>
    </w:div>
    <w:div w:id="1395545652">
      <w:bodyDiv w:val="1"/>
      <w:marLeft w:val="0"/>
      <w:marRight w:val="0"/>
      <w:marTop w:val="0"/>
      <w:marBottom w:val="0"/>
      <w:divBdr>
        <w:top w:val="none" w:sz="0" w:space="0" w:color="auto"/>
        <w:left w:val="none" w:sz="0" w:space="0" w:color="auto"/>
        <w:bottom w:val="none" w:sz="0" w:space="0" w:color="auto"/>
        <w:right w:val="none" w:sz="0" w:space="0" w:color="auto"/>
      </w:divBdr>
    </w:div>
    <w:div w:id="1400515393">
      <w:bodyDiv w:val="1"/>
      <w:marLeft w:val="0"/>
      <w:marRight w:val="0"/>
      <w:marTop w:val="0"/>
      <w:marBottom w:val="0"/>
      <w:divBdr>
        <w:top w:val="none" w:sz="0" w:space="0" w:color="auto"/>
        <w:left w:val="none" w:sz="0" w:space="0" w:color="auto"/>
        <w:bottom w:val="none" w:sz="0" w:space="0" w:color="auto"/>
        <w:right w:val="none" w:sz="0" w:space="0" w:color="auto"/>
      </w:divBdr>
    </w:div>
    <w:div w:id="1423448532">
      <w:bodyDiv w:val="1"/>
      <w:marLeft w:val="0"/>
      <w:marRight w:val="0"/>
      <w:marTop w:val="0"/>
      <w:marBottom w:val="0"/>
      <w:divBdr>
        <w:top w:val="none" w:sz="0" w:space="0" w:color="auto"/>
        <w:left w:val="none" w:sz="0" w:space="0" w:color="auto"/>
        <w:bottom w:val="none" w:sz="0" w:space="0" w:color="auto"/>
        <w:right w:val="none" w:sz="0" w:space="0" w:color="auto"/>
      </w:divBdr>
    </w:div>
    <w:div w:id="1436823638">
      <w:bodyDiv w:val="1"/>
      <w:marLeft w:val="0"/>
      <w:marRight w:val="0"/>
      <w:marTop w:val="0"/>
      <w:marBottom w:val="0"/>
      <w:divBdr>
        <w:top w:val="none" w:sz="0" w:space="0" w:color="auto"/>
        <w:left w:val="none" w:sz="0" w:space="0" w:color="auto"/>
        <w:bottom w:val="none" w:sz="0" w:space="0" w:color="auto"/>
        <w:right w:val="none" w:sz="0" w:space="0" w:color="auto"/>
      </w:divBdr>
    </w:div>
    <w:div w:id="1439527222">
      <w:bodyDiv w:val="1"/>
      <w:marLeft w:val="0"/>
      <w:marRight w:val="0"/>
      <w:marTop w:val="0"/>
      <w:marBottom w:val="0"/>
      <w:divBdr>
        <w:top w:val="none" w:sz="0" w:space="0" w:color="auto"/>
        <w:left w:val="none" w:sz="0" w:space="0" w:color="auto"/>
        <w:bottom w:val="none" w:sz="0" w:space="0" w:color="auto"/>
        <w:right w:val="none" w:sz="0" w:space="0" w:color="auto"/>
      </w:divBdr>
    </w:div>
    <w:div w:id="1449592212">
      <w:bodyDiv w:val="1"/>
      <w:marLeft w:val="0"/>
      <w:marRight w:val="0"/>
      <w:marTop w:val="0"/>
      <w:marBottom w:val="0"/>
      <w:divBdr>
        <w:top w:val="none" w:sz="0" w:space="0" w:color="auto"/>
        <w:left w:val="none" w:sz="0" w:space="0" w:color="auto"/>
        <w:bottom w:val="none" w:sz="0" w:space="0" w:color="auto"/>
        <w:right w:val="none" w:sz="0" w:space="0" w:color="auto"/>
      </w:divBdr>
    </w:div>
    <w:div w:id="1470899043">
      <w:bodyDiv w:val="1"/>
      <w:marLeft w:val="0"/>
      <w:marRight w:val="0"/>
      <w:marTop w:val="0"/>
      <w:marBottom w:val="0"/>
      <w:divBdr>
        <w:top w:val="none" w:sz="0" w:space="0" w:color="auto"/>
        <w:left w:val="none" w:sz="0" w:space="0" w:color="auto"/>
        <w:bottom w:val="none" w:sz="0" w:space="0" w:color="auto"/>
        <w:right w:val="none" w:sz="0" w:space="0" w:color="auto"/>
      </w:divBdr>
    </w:div>
    <w:div w:id="1484277122">
      <w:bodyDiv w:val="1"/>
      <w:marLeft w:val="0"/>
      <w:marRight w:val="0"/>
      <w:marTop w:val="0"/>
      <w:marBottom w:val="0"/>
      <w:divBdr>
        <w:top w:val="none" w:sz="0" w:space="0" w:color="auto"/>
        <w:left w:val="none" w:sz="0" w:space="0" w:color="auto"/>
        <w:bottom w:val="none" w:sz="0" w:space="0" w:color="auto"/>
        <w:right w:val="none" w:sz="0" w:space="0" w:color="auto"/>
      </w:divBdr>
    </w:div>
    <w:div w:id="1512839044">
      <w:bodyDiv w:val="1"/>
      <w:marLeft w:val="0"/>
      <w:marRight w:val="0"/>
      <w:marTop w:val="0"/>
      <w:marBottom w:val="0"/>
      <w:divBdr>
        <w:top w:val="none" w:sz="0" w:space="0" w:color="auto"/>
        <w:left w:val="none" w:sz="0" w:space="0" w:color="auto"/>
        <w:bottom w:val="none" w:sz="0" w:space="0" w:color="auto"/>
        <w:right w:val="none" w:sz="0" w:space="0" w:color="auto"/>
      </w:divBdr>
    </w:div>
    <w:div w:id="1547528705">
      <w:bodyDiv w:val="1"/>
      <w:marLeft w:val="0"/>
      <w:marRight w:val="0"/>
      <w:marTop w:val="0"/>
      <w:marBottom w:val="0"/>
      <w:divBdr>
        <w:top w:val="none" w:sz="0" w:space="0" w:color="auto"/>
        <w:left w:val="none" w:sz="0" w:space="0" w:color="auto"/>
        <w:bottom w:val="none" w:sz="0" w:space="0" w:color="auto"/>
        <w:right w:val="none" w:sz="0" w:space="0" w:color="auto"/>
      </w:divBdr>
    </w:div>
    <w:div w:id="1563519426">
      <w:bodyDiv w:val="1"/>
      <w:marLeft w:val="0"/>
      <w:marRight w:val="0"/>
      <w:marTop w:val="0"/>
      <w:marBottom w:val="0"/>
      <w:divBdr>
        <w:top w:val="none" w:sz="0" w:space="0" w:color="auto"/>
        <w:left w:val="none" w:sz="0" w:space="0" w:color="auto"/>
        <w:bottom w:val="none" w:sz="0" w:space="0" w:color="auto"/>
        <w:right w:val="none" w:sz="0" w:space="0" w:color="auto"/>
      </w:divBdr>
    </w:div>
    <w:div w:id="1569026978">
      <w:bodyDiv w:val="1"/>
      <w:marLeft w:val="0"/>
      <w:marRight w:val="0"/>
      <w:marTop w:val="0"/>
      <w:marBottom w:val="0"/>
      <w:divBdr>
        <w:top w:val="none" w:sz="0" w:space="0" w:color="auto"/>
        <w:left w:val="none" w:sz="0" w:space="0" w:color="auto"/>
        <w:bottom w:val="none" w:sz="0" w:space="0" w:color="auto"/>
        <w:right w:val="none" w:sz="0" w:space="0" w:color="auto"/>
      </w:divBdr>
    </w:div>
    <w:div w:id="1605965925">
      <w:bodyDiv w:val="1"/>
      <w:marLeft w:val="0"/>
      <w:marRight w:val="0"/>
      <w:marTop w:val="0"/>
      <w:marBottom w:val="0"/>
      <w:divBdr>
        <w:top w:val="none" w:sz="0" w:space="0" w:color="auto"/>
        <w:left w:val="none" w:sz="0" w:space="0" w:color="auto"/>
        <w:bottom w:val="none" w:sz="0" w:space="0" w:color="auto"/>
        <w:right w:val="none" w:sz="0" w:space="0" w:color="auto"/>
      </w:divBdr>
    </w:div>
    <w:div w:id="1616210925">
      <w:bodyDiv w:val="1"/>
      <w:marLeft w:val="0"/>
      <w:marRight w:val="0"/>
      <w:marTop w:val="0"/>
      <w:marBottom w:val="0"/>
      <w:divBdr>
        <w:top w:val="none" w:sz="0" w:space="0" w:color="auto"/>
        <w:left w:val="none" w:sz="0" w:space="0" w:color="auto"/>
        <w:bottom w:val="none" w:sz="0" w:space="0" w:color="auto"/>
        <w:right w:val="none" w:sz="0" w:space="0" w:color="auto"/>
      </w:divBdr>
    </w:div>
    <w:div w:id="1646668243">
      <w:bodyDiv w:val="1"/>
      <w:marLeft w:val="0"/>
      <w:marRight w:val="0"/>
      <w:marTop w:val="0"/>
      <w:marBottom w:val="0"/>
      <w:divBdr>
        <w:top w:val="none" w:sz="0" w:space="0" w:color="auto"/>
        <w:left w:val="none" w:sz="0" w:space="0" w:color="auto"/>
        <w:bottom w:val="none" w:sz="0" w:space="0" w:color="auto"/>
        <w:right w:val="none" w:sz="0" w:space="0" w:color="auto"/>
      </w:divBdr>
    </w:div>
    <w:div w:id="1658218792">
      <w:bodyDiv w:val="1"/>
      <w:marLeft w:val="0"/>
      <w:marRight w:val="0"/>
      <w:marTop w:val="0"/>
      <w:marBottom w:val="0"/>
      <w:divBdr>
        <w:top w:val="none" w:sz="0" w:space="0" w:color="auto"/>
        <w:left w:val="none" w:sz="0" w:space="0" w:color="auto"/>
        <w:bottom w:val="none" w:sz="0" w:space="0" w:color="auto"/>
        <w:right w:val="none" w:sz="0" w:space="0" w:color="auto"/>
      </w:divBdr>
    </w:div>
    <w:div w:id="1658917050">
      <w:bodyDiv w:val="1"/>
      <w:marLeft w:val="0"/>
      <w:marRight w:val="0"/>
      <w:marTop w:val="0"/>
      <w:marBottom w:val="0"/>
      <w:divBdr>
        <w:top w:val="none" w:sz="0" w:space="0" w:color="auto"/>
        <w:left w:val="none" w:sz="0" w:space="0" w:color="auto"/>
        <w:bottom w:val="none" w:sz="0" w:space="0" w:color="auto"/>
        <w:right w:val="none" w:sz="0" w:space="0" w:color="auto"/>
      </w:divBdr>
    </w:div>
    <w:div w:id="1661226324">
      <w:bodyDiv w:val="1"/>
      <w:marLeft w:val="0"/>
      <w:marRight w:val="0"/>
      <w:marTop w:val="0"/>
      <w:marBottom w:val="0"/>
      <w:divBdr>
        <w:top w:val="none" w:sz="0" w:space="0" w:color="auto"/>
        <w:left w:val="none" w:sz="0" w:space="0" w:color="auto"/>
        <w:bottom w:val="none" w:sz="0" w:space="0" w:color="auto"/>
        <w:right w:val="none" w:sz="0" w:space="0" w:color="auto"/>
      </w:divBdr>
    </w:div>
    <w:div w:id="1668089451">
      <w:bodyDiv w:val="1"/>
      <w:marLeft w:val="0"/>
      <w:marRight w:val="0"/>
      <w:marTop w:val="0"/>
      <w:marBottom w:val="0"/>
      <w:divBdr>
        <w:top w:val="none" w:sz="0" w:space="0" w:color="auto"/>
        <w:left w:val="none" w:sz="0" w:space="0" w:color="auto"/>
        <w:bottom w:val="none" w:sz="0" w:space="0" w:color="auto"/>
        <w:right w:val="none" w:sz="0" w:space="0" w:color="auto"/>
      </w:divBdr>
    </w:div>
    <w:div w:id="1685208634">
      <w:bodyDiv w:val="1"/>
      <w:marLeft w:val="0"/>
      <w:marRight w:val="0"/>
      <w:marTop w:val="0"/>
      <w:marBottom w:val="0"/>
      <w:divBdr>
        <w:top w:val="none" w:sz="0" w:space="0" w:color="auto"/>
        <w:left w:val="none" w:sz="0" w:space="0" w:color="auto"/>
        <w:bottom w:val="none" w:sz="0" w:space="0" w:color="auto"/>
        <w:right w:val="none" w:sz="0" w:space="0" w:color="auto"/>
      </w:divBdr>
    </w:div>
    <w:div w:id="1695229890">
      <w:bodyDiv w:val="1"/>
      <w:marLeft w:val="0"/>
      <w:marRight w:val="0"/>
      <w:marTop w:val="0"/>
      <w:marBottom w:val="0"/>
      <w:divBdr>
        <w:top w:val="none" w:sz="0" w:space="0" w:color="auto"/>
        <w:left w:val="none" w:sz="0" w:space="0" w:color="auto"/>
        <w:bottom w:val="none" w:sz="0" w:space="0" w:color="auto"/>
        <w:right w:val="none" w:sz="0" w:space="0" w:color="auto"/>
      </w:divBdr>
    </w:div>
    <w:div w:id="1704361894">
      <w:bodyDiv w:val="1"/>
      <w:marLeft w:val="0"/>
      <w:marRight w:val="0"/>
      <w:marTop w:val="0"/>
      <w:marBottom w:val="0"/>
      <w:divBdr>
        <w:top w:val="none" w:sz="0" w:space="0" w:color="auto"/>
        <w:left w:val="none" w:sz="0" w:space="0" w:color="auto"/>
        <w:bottom w:val="none" w:sz="0" w:space="0" w:color="auto"/>
        <w:right w:val="none" w:sz="0" w:space="0" w:color="auto"/>
      </w:divBdr>
    </w:div>
    <w:div w:id="1706979747">
      <w:bodyDiv w:val="1"/>
      <w:marLeft w:val="0"/>
      <w:marRight w:val="0"/>
      <w:marTop w:val="0"/>
      <w:marBottom w:val="0"/>
      <w:divBdr>
        <w:top w:val="none" w:sz="0" w:space="0" w:color="auto"/>
        <w:left w:val="none" w:sz="0" w:space="0" w:color="auto"/>
        <w:bottom w:val="none" w:sz="0" w:space="0" w:color="auto"/>
        <w:right w:val="none" w:sz="0" w:space="0" w:color="auto"/>
      </w:divBdr>
    </w:div>
    <w:div w:id="1742631553">
      <w:bodyDiv w:val="1"/>
      <w:marLeft w:val="0"/>
      <w:marRight w:val="0"/>
      <w:marTop w:val="0"/>
      <w:marBottom w:val="0"/>
      <w:divBdr>
        <w:top w:val="none" w:sz="0" w:space="0" w:color="auto"/>
        <w:left w:val="none" w:sz="0" w:space="0" w:color="auto"/>
        <w:bottom w:val="none" w:sz="0" w:space="0" w:color="auto"/>
        <w:right w:val="none" w:sz="0" w:space="0" w:color="auto"/>
      </w:divBdr>
    </w:div>
    <w:div w:id="1749420502">
      <w:bodyDiv w:val="1"/>
      <w:marLeft w:val="0"/>
      <w:marRight w:val="0"/>
      <w:marTop w:val="0"/>
      <w:marBottom w:val="0"/>
      <w:divBdr>
        <w:top w:val="none" w:sz="0" w:space="0" w:color="auto"/>
        <w:left w:val="none" w:sz="0" w:space="0" w:color="auto"/>
        <w:bottom w:val="none" w:sz="0" w:space="0" w:color="auto"/>
        <w:right w:val="none" w:sz="0" w:space="0" w:color="auto"/>
      </w:divBdr>
    </w:div>
    <w:div w:id="1752702336">
      <w:bodyDiv w:val="1"/>
      <w:marLeft w:val="0"/>
      <w:marRight w:val="0"/>
      <w:marTop w:val="0"/>
      <w:marBottom w:val="0"/>
      <w:divBdr>
        <w:top w:val="none" w:sz="0" w:space="0" w:color="auto"/>
        <w:left w:val="none" w:sz="0" w:space="0" w:color="auto"/>
        <w:bottom w:val="none" w:sz="0" w:space="0" w:color="auto"/>
        <w:right w:val="none" w:sz="0" w:space="0" w:color="auto"/>
      </w:divBdr>
    </w:div>
    <w:div w:id="1754619784">
      <w:bodyDiv w:val="1"/>
      <w:marLeft w:val="0"/>
      <w:marRight w:val="0"/>
      <w:marTop w:val="0"/>
      <w:marBottom w:val="0"/>
      <w:divBdr>
        <w:top w:val="none" w:sz="0" w:space="0" w:color="auto"/>
        <w:left w:val="none" w:sz="0" w:space="0" w:color="auto"/>
        <w:bottom w:val="none" w:sz="0" w:space="0" w:color="auto"/>
        <w:right w:val="none" w:sz="0" w:space="0" w:color="auto"/>
      </w:divBdr>
    </w:div>
    <w:div w:id="1776707083">
      <w:bodyDiv w:val="1"/>
      <w:marLeft w:val="0"/>
      <w:marRight w:val="0"/>
      <w:marTop w:val="0"/>
      <w:marBottom w:val="0"/>
      <w:divBdr>
        <w:top w:val="none" w:sz="0" w:space="0" w:color="auto"/>
        <w:left w:val="none" w:sz="0" w:space="0" w:color="auto"/>
        <w:bottom w:val="none" w:sz="0" w:space="0" w:color="auto"/>
        <w:right w:val="none" w:sz="0" w:space="0" w:color="auto"/>
      </w:divBdr>
    </w:div>
    <w:div w:id="1787652161">
      <w:bodyDiv w:val="1"/>
      <w:marLeft w:val="0"/>
      <w:marRight w:val="0"/>
      <w:marTop w:val="0"/>
      <w:marBottom w:val="0"/>
      <w:divBdr>
        <w:top w:val="none" w:sz="0" w:space="0" w:color="auto"/>
        <w:left w:val="none" w:sz="0" w:space="0" w:color="auto"/>
        <w:bottom w:val="none" w:sz="0" w:space="0" w:color="auto"/>
        <w:right w:val="none" w:sz="0" w:space="0" w:color="auto"/>
      </w:divBdr>
    </w:div>
    <w:div w:id="1789855971">
      <w:bodyDiv w:val="1"/>
      <w:marLeft w:val="0"/>
      <w:marRight w:val="0"/>
      <w:marTop w:val="0"/>
      <w:marBottom w:val="0"/>
      <w:divBdr>
        <w:top w:val="none" w:sz="0" w:space="0" w:color="auto"/>
        <w:left w:val="none" w:sz="0" w:space="0" w:color="auto"/>
        <w:bottom w:val="none" w:sz="0" w:space="0" w:color="auto"/>
        <w:right w:val="none" w:sz="0" w:space="0" w:color="auto"/>
      </w:divBdr>
    </w:div>
    <w:div w:id="1810242936">
      <w:bodyDiv w:val="1"/>
      <w:marLeft w:val="0"/>
      <w:marRight w:val="0"/>
      <w:marTop w:val="0"/>
      <w:marBottom w:val="0"/>
      <w:divBdr>
        <w:top w:val="none" w:sz="0" w:space="0" w:color="auto"/>
        <w:left w:val="none" w:sz="0" w:space="0" w:color="auto"/>
        <w:bottom w:val="none" w:sz="0" w:space="0" w:color="auto"/>
        <w:right w:val="none" w:sz="0" w:space="0" w:color="auto"/>
      </w:divBdr>
    </w:div>
    <w:div w:id="1813478229">
      <w:bodyDiv w:val="1"/>
      <w:marLeft w:val="0"/>
      <w:marRight w:val="0"/>
      <w:marTop w:val="0"/>
      <w:marBottom w:val="0"/>
      <w:divBdr>
        <w:top w:val="none" w:sz="0" w:space="0" w:color="auto"/>
        <w:left w:val="none" w:sz="0" w:space="0" w:color="auto"/>
        <w:bottom w:val="none" w:sz="0" w:space="0" w:color="auto"/>
        <w:right w:val="none" w:sz="0" w:space="0" w:color="auto"/>
      </w:divBdr>
    </w:div>
    <w:div w:id="1851413676">
      <w:bodyDiv w:val="1"/>
      <w:marLeft w:val="0"/>
      <w:marRight w:val="0"/>
      <w:marTop w:val="0"/>
      <w:marBottom w:val="0"/>
      <w:divBdr>
        <w:top w:val="none" w:sz="0" w:space="0" w:color="auto"/>
        <w:left w:val="none" w:sz="0" w:space="0" w:color="auto"/>
        <w:bottom w:val="none" w:sz="0" w:space="0" w:color="auto"/>
        <w:right w:val="none" w:sz="0" w:space="0" w:color="auto"/>
      </w:divBdr>
    </w:div>
    <w:div w:id="1856461048">
      <w:bodyDiv w:val="1"/>
      <w:marLeft w:val="0"/>
      <w:marRight w:val="0"/>
      <w:marTop w:val="0"/>
      <w:marBottom w:val="0"/>
      <w:divBdr>
        <w:top w:val="none" w:sz="0" w:space="0" w:color="auto"/>
        <w:left w:val="none" w:sz="0" w:space="0" w:color="auto"/>
        <w:bottom w:val="none" w:sz="0" w:space="0" w:color="auto"/>
        <w:right w:val="none" w:sz="0" w:space="0" w:color="auto"/>
      </w:divBdr>
    </w:div>
    <w:div w:id="1879513935">
      <w:bodyDiv w:val="1"/>
      <w:marLeft w:val="0"/>
      <w:marRight w:val="0"/>
      <w:marTop w:val="0"/>
      <w:marBottom w:val="0"/>
      <w:divBdr>
        <w:top w:val="none" w:sz="0" w:space="0" w:color="auto"/>
        <w:left w:val="none" w:sz="0" w:space="0" w:color="auto"/>
        <w:bottom w:val="none" w:sz="0" w:space="0" w:color="auto"/>
        <w:right w:val="none" w:sz="0" w:space="0" w:color="auto"/>
      </w:divBdr>
    </w:div>
    <w:div w:id="1883323870">
      <w:bodyDiv w:val="1"/>
      <w:marLeft w:val="0"/>
      <w:marRight w:val="0"/>
      <w:marTop w:val="0"/>
      <w:marBottom w:val="0"/>
      <w:divBdr>
        <w:top w:val="none" w:sz="0" w:space="0" w:color="auto"/>
        <w:left w:val="none" w:sz="0" w:space="0" w:color="auto"/>
        <w:bottom w:val="none" w:sz="0" w:space="0" w:color="auto"/>
        <w:right w:val="none" w:sz="0" w:space="0" w:color="auto"/>
      </w:divBdr>
    </w:div>
    <w:div w:id="1886064568">
      <w:bodyDiv w:val="1"/>
      <w:marLeft w:val="0"/>
      <w:marRight w:val="0"/>
      <w:marTop w:val="0"/>
      <w:marBottom w:val="0"/>
      <w:divBdr>
        <w:top w:val="none" w:sz="0" w:space="0" w:color="auto"/>
        <w:left w:val="none" w:sz="0" w:space="0" w:color="auto"/>
        <w:bottom w:val="none" w:sz="0" w:space="0" w:color="auto"/>
        <w:right w:val="none" w:sz="0" w:space="0" w:color="auto"/>
      </w:divBdr>
    </w:div>
    <w:div w:id="1891841959">
      <w:bodyDiv w:val="1"/>
      <w:marLeft w:val="0"/>
      <w:marRight w:val="0"/>
      <w:marTop w:val="0"/>
      <w:marBottom w:val="0"/>
      <w:divBdr>
        <w:top w:val="none" w:sz="0" w:space="0" w:color="auto"/>
        <w:left w:val="none" w:sz="0" w:space="0" w:color="auto"/>
        <w:bottom w:val="none" w:sz="0" w:space="0" w:color="auto"/>
        <w:right w:val="none" w:sz="0" w:space="0" w:color="auto"/>
      </w:divBdr>
    </w:div>
    <w:div w:id="1895266336">
      <w:bodyDiv w:val="1"/>
      <w:marLeft w:val="0"/>
      <w:marRight w:val="0"/>
      <w:marTop w:val="0"/>
      <w:marBottom w:val="0"/>
      <w:divBdr>
        <w:top w:val="none" w:sz="0" w:space="0" w:color="auto"/>
        <w:left w:val="none" w:sz="0" w:space="0" w:color="auto"/>
        <w:bottom w:val="none" w:sz="0" w:space="0" w:color="auto"/>
        <w:right w:val="none" w:sz="0" w:space="0" w:color="auto"/>
      </w:divBdr>
    </w:div>
    <w:div w:id="1928803717">
      <w:bodyDiv w:val="1"/>
      <w:marLeft w:val="0"/>
      <w:marRight w:val="0"/>
      <w:marTop w:val="0"/>
      <w:marBottom w:val="0"/>
      <w:divBdr>
        <w:top w:val="none" w:sz="0" w:space="0" w:color="auto"/>
        <w:left w:val="none" w:sz="0" w:space="0" w:color="auto"/>
        <w:bottom w:val="none" w:sz="0" w:space="0" w:color="auto"/>
        <w:right w:val="none" w:sz="0" w:space="0" w:color="auto"/>
      </w:divBdr>
    </w:div>
    <w:div w:id="1929458121">
      <w:bodyDiv w:val="1"/>
      <w:marLeft w:val="0"/>
      <w:marRight w:val="0"/>
      <w:marTop w:val="0"/>
      <w:marBottom w:val="0"/>
      <w:divBdr>
        <w:top w:val="none" w:sz="0" w:space="0" w:color="auto"/>
        <w:left w:val="none" w:sz="0" w:space="0" w:color="auto"/>
        <w:bottom w:val="none" w:sz="0" w:space="0" w:color="auto"/>
        <w:right w:val="none" w:sz="0" w:space="0" w:color="auto"/>
      </w:divBdr>
    </w:div>
    <w:div w:id="1932545573">
      <w:bodyDiv w:val="1"/>
      <w:marLeft w:val="0"/>
      <w:marRight w:val="0"/>
      <w:marTop w:val="0"/>
      <w:marBottom w:val="0"/>
      <w:divBdr>
        <w:top w:val="none" w:sz="0" w:space="0" w:color="auto"/>
        <w:left w:val="none" w:sz="0" w:space="0" w:color="auto"/>
        <w:bottom w:val="none" w:sz="0" w:space="0" w:color="auto"/>
        <w:right w:val="none" w:sz="0" w:space="0" w:color="auto"/>
      </w:divBdr>
    </w:div>
    <w:div w:id="1982802723">
      <w:bodyDiv w:val="1"/>
      <w:marLeft w:val="0"/>
      <w:marRight w:val="0"/>
      <w:marTop w:val="0"/>
      <w:marBottom w:val="0"/>
      <w:divBdr>
        <w:top w:val="none" w:sz="0" w:space="0" w:color="auto"/>
        <w:left w:val="none" w:sz="0" w:space="0" w:color="auto"/>
        <w:bottom w:val="none" w:sz="0" w:space="0" w:color="auto"/>
        <w:right w:val="none" w:sz="0" w:space="0" w:color="auto"/>
      </w:divBdr>
    </w:div>
    <w:div w:id="1986741611">
      <w:bodyDiv w:val="1"/>
      <w:marLeft w:val="0"/>
      <w:marRight w:val="0"/>
      <w:marTop w:val="0"/>
      <w:marBottom w:val="0"/>
      <w:divBdr>
        <w:top w:val="none" w:sz="0" w:space="0" w:color="auto"/>
        <w:left w:val="none" w:sz="0" w:space="0" w:color="auto"/>
        <w:bottom w:val="none" w:sz="0" w:space="0" w:color="auto"/>
        <w:right w:val="none" w:sz="0" w:space="0" w:color="auto"/>
      </w:divBdr>
    </w:div>
    <w:div w:id="1998143721">
      <w:bodyDiv w:val="1"/>
      <w:marLeft w:val="0"/>
      <w:marRight w:val="0"/>
      <w:marTop w:val="0"/>
      <w:marBottom w:val="0"/>
      <w:divBdr>
        <w:top w:val="none" w:sz="0" w:space="0" w:color="auto"/>
        <w:left w:val="none" w:sz="0" w:space="0" w:color="auto"/>
        <w:bottom w:val="none" w:sz="0" w:space="0" w:color="auto"/>
        <w:right w:val="none" w:sz="0" w:space="0" w:color="auto"/>
      </w:divBdr>
    </w:div>
    <w:div w:id="2013871786">
      <w:bodyDiv w:val="1"/>
      <w:marLeft w:val="0"/>
      <w:marRight w:val="0"/>
      <w:marTop w:val="0"/>
      <w:marBottom w:val="0"/>
      <w:divBdr>
        <w:top w:val="none" w:sz="0" w:space="0" w:color="auto"/>
        <w:left w:val="none" w:sz="0" w:space="0" w:color="auto"/>
        <w:bottom w:val="none" w:sz="0" w:space="0" w:color="auto"/>
        <w:right w:val="none" w:sz="0" w:space="0" w:color="auto"/>
      </w:divBdr>
    </w:div>
    <w:div w:id="2019044685">
      <w:bodyDiv w:val="1"/>
      <w:marLeft w:val="0"/>
      <w:marRight w:val="0"/>
      <w:marTop w:val="0"/>
      <w:marBottom w:val="0"/>
      <w:divBdr>
        <w:top w:val="none" w:sz="0" w:space="0" w:color="auto"/>
        <w:left w:val="none" w:sz="0" w:space="0" w:color="auto"/>
        <w:bottom w:val="none" w:sz="0" w:space="0" w:color="auto"/>
        <w:right w:val="none" w:sz="0" w:space="0" w:color="auto"/>
      </w:divBdr>
    </w:div>
    <w:div w:id="2030527752">
      <w:bodyDiv w:val="1"/>
      <w:marLeft w:val="0"/>
      <w:marRight w:val="0"/>
      <w:marTop w:val="0"/>
      <w:marBottom w:val="0"/>
      <w:divBdr>
        <w:top w:val="none" w:sz="0" w:space="0" w:color="auto"/>
        <w:left w:val="none" w:sz="0" w:space="0" w:color="auto"/>
        <w:bottom w:val="none" w:sz="0" w:space="0" w:color="auto"/>
        <w:right w:val="none" w:sz="0" w:space="0" w:color="auto"/>
      </w:divBdr>
    </w:div>
    <w:div w:id="2031026365">
      <w:bodyDiv w:val="1"/>
      <w:marLeft w:val="0"/>
      <w:marRight w:val="0"/>
      <w:marTop w:val="0"/>
      <w:marBottom w:val="0"/>
      <w:divBdr>
        <w:top w:val="none" w:sz="0" w:space="0" w:color="auto"/>
        <w:left w:val="none" w:sz="0" w:space="0" w:color="auto"/>
        <w:bottom w:val="none" w:sz="0" w:space="0" w:color="auto"/>
        <w:right w:val="none" w:sz="0" w:space="0" w:color="auto"/>
      </w:divBdr>
    </w:div>
    <w:div w:id="2032993443">
      <w:bodyDiv w:val="1"/>
      <w:marLeft w:val="0"/>
      <w:marRight w:val="0"/>
      <w:marTop w:val="0"/>
      <w:marBottom w:val="0"/>
      <w:divBdr>
        <w:top w:val="none" w:sz="0" w:space="0" w:color="auto"/>
        <w:left w:val="none" w:sz="0" w:space="0" w:color="auto"/>
        <w:bottom w:val="none" w:sz="0" w:space="0" w:color="auto"/>
        <w:right w:val="none" w:sz="0" w:space="0" w:color="auto"/>
      </w:divBdr>
    </w:div>
    <w:div w:id="2035032065">
      <w:bodyDiv w:val="1"/>
      <w:marLeft w:val="0"/>
      <w:marRight w:val="0"/>
      <w:marTop w:val="0"/>
      <w:marBottom w:val="0"/>
      <w:divBdr>
        <w:top w:val="none" w:sz="0" w:space="0" w:color="auto"/>
        <w:left w:val="none" w:sz="0" w:space="0" w:color="auto"/>
        <w:bottom w:val="none" w:sz="0" w:space="0" w:color="auto"/>
        <w:right w:val="none" w:sz="0" w:space="0" w:color="auto"/>
      </w:divBdr>
    </w:div>
    <w:div w:id="2035687325">
      <w:bodyDiv w:val="1"/>
      <w:marLeft w:val="0"/>
      <w:marRight w:val="0"/>
      <w:marTop w:val="0"/>
      <w:marBottom w:val="0"/>
      <w:divBdr>
        <w:top w:val="none" w:sz="0" w:space="0" w:color="auto"/>
        <w:left w:val="none" w:sz="0" w:space="0" w:color="auto"/>
        <w:bottom w:val="none" w:sz="0" w:space="0" w:color="auto"/>
        <w:right w:val="none" w:sz="0" w:space="0" w:color="auto"/>
      </w:divBdr>
    </w:div>
    <w:div w:id="2050912220">
      <w:bodyDiv w:val="1"/>
      <w:marLeft w:val="0"/>
      <w:marRight w:val="0"/>
      <w:marTop w:val="0"/>
      <w:marBottom w:val="0"/>
      <w:divBdr>
        <w:top w:val="none" w:sz="0" w:space="0" w:color="auto"/>
        <w:left w:val="none" w:sz="0" w:space="0" w:color="auto"/>
        <w:bottom w:val="none" w:sz="0" w:space="0" w:color="auto"/>
        <w:right w:val="none" w:sz="0" w:space="0" w:color="auto"/>
      </w:divBdr>
    </w:div>
    <w:div w:id="2062746135">
      <w:bodyDiv w:val="1"/>
      <w:marLeft w:val="0"/>
      <w:marRight w:val="0"/>
      <w:marTop w:val="0"/>
      <w:marBottom w:val="0"/>
      <w:divBdr>
        <w:top w:val="none" w:sz="0" w:space="0" w:color="auto"/>
        <w:left w:val="none" w:sz="0" w:space="0" w:color="auto"/>
        <w:bottom w:val="none" w:sz="0" w:space="0" w:color="auto"/>
        <w:right w:val="none" w:sz="0" w:space="0" w:color="auto"/>
      </w:divBdr>
    </w:div>
    <w:div w:id="2064866696">
      <w:bodyDiv w:val="1"/>
      <w:marLeft w:val="0"/>
      <w:marRight w:val="0"/>
      <w:marTop w:val="0"/>
      <w:marBottom w:val="0"/>
      <w:divBdr>
        <w:top w:val="none" w:sz="0" w:space="0" w:color="auto"/>
        <w:left w:val="none" w:sz="0" w:space="0" w:color="auto"/>
        <w:bottom w:val="none" w:sz="0" w:space="0" w:color="auto"/>
        <w:right w:val="none" w:sz="0" w:space="0" w:color="auto"/>
      </w:divBdr>
    </w:div>
    <w:div w:id="2110159832">
      <w:bodyDiv w:val="1"/>
      <w:marLeft w:val="0"/>
      <w:marRight w:val="0"/>
      <w:marTop w:val="0"/>
      <w:marBottom w:val="0"/>
      <w:divBdr>
        <w:top w:val="none" w:sz="0" w:space="0" w:color="auto"/>
        <w:left w:val="none" w:sz="0" w:space="0" w:color="auto"/>
        <w:bottom w:val="none" w:sz="0" w:space="0" w:color="auto"/>
        <w:right w:val="none" w:sz="0" w:space="0" w:color="auto"/>
      </w:divBdr>
    </w:div>
    <w:div w:id="21231809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valarezo@sri.gob.ec" TargetMode="External"/><Relationship Id="rId13" Type="http://schemas.openxmlformats.org/officeDocument/2006/relationships/image" Target="media/image5.png"/><Relationship Id="rId18"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mailto:vavillamarin@sri.gob.ec" TargetMode="External"/><Relationship Id="rId12" Type="http://schemas.openxmlformats.org/officeDocument/2006/relationships/footer" Target="footer2.xm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cid:image001.png@01DC8F84.120E3BD0" TargetMode="External"/><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image" Target="media/image3.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TotalTime>
  <Pages>1</Pages>
  <Words>36224</Words>
  <Characters>221695</Characters>
  <Application>Microsoft Office Word</Application>
  <DocSecurity>0</DocSecurity>
  <Lines>7644</Lines>
  <Paragraphs>3438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Villamarin Varela, Victor Amilcar</cp:lastModifiedBy>
  <cp:revision>15</cp:revision>
  <dcterms:created xsi:type="dcterms:W3CDTF">2026-03-09T15:57:00Z</dcterms:created>
  <dcterms:modified xsi:type="dcterms:W3CDTF">2026-03-10T14:02:00Z</dcterms:modified>
</cp:coreProperties>
</file>