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16CDB3" w14:textId="5332C924" w:rsidR="006470C4" w:rsidRPr="004C7835" w:rsidRDefault="006470C4" w:rsidP="006470C4">
      <w:pPr>
        <w:jc w:val="both"/>
        <w:rPr>
          <w:rFonts w:ascii="Calibri" w:hAnsi="Calibri" w:cs="Calibri"/>
          <w:b/>
          <w:bCs/>
          <w:sz w:val="20"/>
          <w:szCs w:val="20"/>
        </w:rPr>
      </w:pPr>
      <w:proofErr w:type="spellStart"/>
      <w:r w:rsidRPr="004C7835">
        <w:rPr>
          <w:rFonts w:ascii="Calibri" w:hAnsi="Calibri" w:cs="Calibri"/>
          <w:b/>
          <w:bCs/>
          <w:sz w:val="20"/>
          <w:szCs w:val="20"/>
        </w:rPr>
        <w:t>Innumerado</w:t>
      </w:r>
      <w:proofErr w:type="spellEnd"/>
      <w:r w:rsidRPr="004C7835">
        <w:rPr>
          <w:rFonts w:ascii="Calibri" w:hAnsi="Calibri" w:cs="Calibri"/>
          <w:b/>
          <w:bCs/>
          <w:sz w:val="20"/>
          <w:szCs w:val="20"/>
        </w:rPr>
        <w:t xml:space="preserve"> quinto posterior al artículo 7</w:t>
      </w:r>
    </w:p>
    <w:p w14:paraId="72CB3A50" w14:textId="361CE858" w:rsidR="006470C4" w:rsidRPr="006470C4" w:rsidRDefault="006470C4" w:rsidP="006470C4">
      <w:pPr>
        <w:spacing w:line="259" w:lineRule="auto"/>
        <w:jc w:val="both"/>
        <w:rPr>
          <w:rFonts w:ascii="Calibri" w:hAnsi="Calibri" w:cs="Calibri"/>
          <w:kern w:val="0"/>
          <w:sz w:val="20"/>
          <w:szCs w:val="20"/>
          <w14:ligatures w14:val="none"/>
        </w:rPr>
      </w:pPr>
      <w:r w:rsidRPr="006470C4">
        <w:rPr>
          <w:rFonts w:ascii="Calibri" w:hAnsi="Calibri" w:cs="Calibri"/>
          <w:b/>
          <w:bCs/>
          <w:kern w:val="0"/>
          <w:sz w:val="20"/>
          <w:szCs w:val="20"/>
          <w14:ligatures w14:val="none"/>
        </w:rPr>
        <w:t xml:space="preserve">Art. </w:t>
      </w:r>
      <w:proofErr w:type="gramStart"/>
      <w:r w:rsidRPr="006470C4">
        <w:rPr>
          <w:rFonts w:ascii="Calibri" w:hAnsi="Calibri" w:cs="Calibri"/>
          <w:b/>
          <w:bCs/>
          <w:kern w:val="0"/>
          <w:sz w:val="20"/>
          <w:szCs w:val="20"/>
          <w14:ligatures w14:val="none"/>
        </w:rPr>
        <w:t>(...).-</w:t>
      </w:r>
      <w:proofErr w:type="gramEnd"/>
      <w:r w:rsidRPr="006470C4">
        <w:rPr>
          <w:rFonts w:ascii="Calibri" w:hAnsi="Calibri" w:cs="Calibri"/>
          <w:b/>
          <w:bCs/>
          <w:kern w:val="0"/>
          <w:sz w:val="20"/>
          <w:szCs w:val="20"/>
          <w14:ligatures w14:val="none"/>
        </w:rPr>
        <w:t xml:space="preserve"> Distribución de </w:t>
      </w:r>
      <w:proofErr w:type="gramStart"/>
      <w:r w:rsidRPr="006470C4">
        <w:rPr>
          <w:rFonts w:ascii="Calibri" w:hAnsi="Calibri" w:cs="Calibri"/>
          <w:b/>
          <w:bCs/>
          <w:kern w:val="0"/>
          <w:sz w:val="20"/>
          <w:szCs w:val="20"/>
          <w14:ligatures w14:val="none"/>
        </w:rPr>
        <w:t>dividendos.-</w:t>
      </w:r>
      <w:proofErr w:type="gramEnd"/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 xml:space="preserve"> Se entenderá como distribución de dividendos a la decisión de la junta de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accionistas, o del órgano que corresponda de acuerdo con la naturaleza de la sociedad, que resuelva la obligación de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distribuirlos. En virtud de aquello, el valor del dividendo efectivamente distribuido y la fecha de distribución corresponderán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a los que consten en la respectiva acta o su equivalente.</w:t>
      </w:r>
    </w:p>
    <w:p w14:paraId="1F5418D1" w14:textId="522D0CE2" w:rsidR="006470C4" w:rsidRPr="006470C4" w:rsidRDefault="006470C4" w:rsidP="006470C4">
      <w:pPr>
        <w:spacing w:line="259" w:lineRule="auto"/>
        <w:jc w:val="both"/>
        <w:rPr>
          <w:rFonts w:ascii="Calibri" w:hAnsi="Calibri" w:cs="Calibri"/>
          <w:kern w:val="0"/>
          <w:sz w:val="20"/>
          <w:szCs w:val="20"/>
          <w14:ligatures w14:val="none"/>
        </w:rPr>
      </w:pP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Para los demás establecimientos permanentes de sociedades no residentes se considerará como dividendo efectivamente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distribuido a todo excedente de remesas a sus casas matrices, cuyo valor deberá establecerse anualmente en atención a la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técnica contable y al principio de plena competencia, conforme los ingresos, costos y gastos que sean atribuibles a dicha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operación en el Ecuador, una vez restadas la participación laboral y el impuesto a la renta causado.</w:t>
      </w:r>
    </w:p>
    <w:p w14:paraId="19F8A5B2" w14:textId="25E6F237" w:rsidR="006470C4" w:rsidRPr="006470C4" w:rsidRDefault="006470C4" w:rsidP="006470C4">
      <w:pPr>
        <w:spacing w:line="259" w:lineRule="auto"/>
        <w:jc w:val="both"/>
        <w:rPr>
          <w:rFonts w:ascii="Calibri" w:hAnsi="Calibri" w:cs="Calibri"/>
          <w:kern w:val="0"/>
          <w:sz w:val="20"/>
          <w:szCs w:val="20"/>
          <w14:ligatures w14:val="none"/>
        </w:rPr>
      </w:pP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En los casos señalados en los dos incisos anteriores, el momento de la retención corresponderá a la fecha de exigibilidad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del impuesto a la renta de la entidad que distribuye.</w:t>
      </w:r>
    </w:p>
    <w:p w14:paraId="63990D81" w14:textId="62469D97" w:rsidR="006470C4" w:rsidRPr="006470C4" w:rsidRDefault="006470C4" w:rsidP="006470C4">
      <w:pPr>
        <w:spacing w:line="259" w:lineRule="auto"/>
        <w:jc w:val="both"/>
        <w:rPr>
          <w:rFonts w:ascii="Calibri" w:hAnsi="Calibri" w:cs="Calibri"/>
          <w:kern w:val="0"/>
          <w:sz w:val="20"/>
          <w:szCs w:val="20"/>
          <w14:ligatures w14:val="none"/>
        </w:rPr>
      </w:pP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Así también, se considera distribución de dividendos a las donaciones efectuadas a los accionistas, a sus partes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relacionadas o a sus parientes hasta el cuarto grado de consanguinidad y segundo de afinidad.</w:t>
      </w:r>
    </w:p>
    <w:p w14:paraId="246793EC" w14:textId="2E078138" w:rsidR="006470C4" w:rsidRPr="006470C4" w:rsidRDefault="006470C4" w:rsidP="006470C4">
      <w:pPr>
        <w:spacing w:line="259" w:lineRule="auto"/>
        <w:jc w:val="both"/>
        <w:rPr>
          <w:rFonts w:ascii="Calibri" w:hAnsi="Calibri" w:cs="Calibri"/>
          <w:kern w:val="0"/>
          <w:sz w:val="20"/>
          <w:szCs w:val="20"/>
          <w14:ligatures w14:val="none"/>
        </w:rPr>
      </w:pP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De igual forma, constituye distribución de dividendos toda figura que tenga como propósito la descapitalización de una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</w:t>
      </w: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sociedad, cuando estos capitales provengan de utilidades no distribuidas.</w:t>
      </w:r>
    </w:p>
    <w:p w14:paraId="56B3544A" w14:textId="04631FCC" w:rsidR="00136615" w:rsidRPr="004C7835" w:rsidRDefault="006470C4" w:rsidP="006470C4">
      <w:pPr>
        <w:spacing w:line="259" w:lineRule="auto"/>
        <w:jc w:val="both"/>
        <w:rPr>
          <w:rFonts w:ascii="Calibri" w:hAnsi="Calibri" w:cs="Calibri"/>
          <w:kern w:val="0"/>
          <w:sz w:val="20"/>
          <w:szCs w:val="20"/>
          <w14:ligatures w14:val="none"/>
        </w:rPr>
      </w:pPr>
      <w:r w:rsidRPr="006470C4">
        <w:rPr>
          <w:rFonts w:ascii="Calibri" w:hAnsi="Calibri" w:cs="Calibri"/>
          <w:kern w:val="0"/>
          <w:sz w:val="20"/>
          <w:szCs w:val="20"/>
          <w14:ligatures w14:val="none"/>
        </w:rPr>
        <w:t>Se excluye del concepto de distribución de dividendos a los rendimientos que otorguen los Fondos de Inversión o</w:t>
      </w:r>
      <w:r w:rsidRPr="004C7835">
        <w:rPr>
          <w:rFonts w:ascii="Calibri" w:hAnsi="Calibri" w:cs="Calibri"/>
          <w:kern w:val="0"/>
          <w:sz w:val="20"/>
          <w:szCs w:val="20"/>
          <w14:ligatures w14:val="none"/>
        </w:rPr>
        <w:t xml:space="preserve"> Fideicomisos de Inversión; en estos casos estos ingresos se sujetarán al régimen general de impuesto a la renta.</w:t>
      </w:r>
    </w:p>
    <w:sectPr w:rsidR="00136615" w:rsidRPr="004C783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0C4"/>
    <w:rsid w:val="00136615"/>
    <w:rsid w:val="00495449"/>
    <w:rsid w:val="004C7835"/>
    <w:rsid w:val="006470C4"/>
    <w:rsid w:val="007F291E"/>
    <w:rsid w:val="00AE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348DC"/>
  <w15:chartTrackingRefBased/>
  <w15:docId w15:val="{142A698D-0A7E-4CF0-8983-E5862D343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C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6470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470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470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470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470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470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470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470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470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470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470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470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470C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470C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470C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470C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470C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470C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470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470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470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470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470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470C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470C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470C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470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470C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470C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264</Words>
  <Characters>1458</Characters>
  <Application>Microsoft Office Word</Application>
  <DocSecurity>0</DocSecurity>
  <Lines>20</Lines>
  <Paragraphs>7</Paragraphs>
  <ScaleCrop>false</ScaleCrop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Acosta Perez, Sheyla Alexandra</dc:creator>
  <cp:keywords/>
  <dc:description/>
  <cp:lastModifiedBy>Acosta Perez, Sheyla Alexandra</cp:lastModifiedBy>
  <cp:revision>3</cp:revision>
  <dcterms:created xsi:type="dcterms:W3CDTF">2025-11-19T21:20:00Z</dcterms:created>
  <dcterms:modified xsi:type="dcterms:W3CDTF">2025-11-19T21:33:00Z</dcterms:modified>
</cp:coreProperties>
</file>